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lang w:val="en-US" w:eastAsia="it-IT"/>
        </w:rPr>
      </w:pPr>
      <w:r>
        <w:rPr>
          <w:rFonts w:eastAsia="Times New Roman" w:cs="Calibri" w:ascii="Calibri" w:hAnsi="Calibri" w:asciiTheme="minorHAnsi" w:cstheme="minorHAnsi" w:hAnsiTheme="minorHAnsi"/>
          <w:lang w:val="en-US" w:eastAsia="it-IT"/>
        </w:rPr>
        <w:t>Rep. n.</w:t>
      </w:r>
    </w:p>
    <w:p>
      <w:pPr>
        <w:pStyle w:val="Normal"/>
        <w:widowControl/>
        <w:jc w:val="center"/>
        <w:rPr>
          <w:rFonts w:ascii="Calibri" w:hAnsi="Calibri" w:eastAsia="Times New Roman" w:cs="Calibri" w:asciiTheme="minorHAnsi" w:cstheme="minorHAnsi" w:hAnsiTheme="minorHAnsi"/>
          <w:b/>
          <w:b/>
          <w:lang w:eastAsia="it-IT"/>
        </w:rPr>
      </w:pPr>
      <w:r>
        <w:rPr>
          <w:rFonts w:eastAsia="Times New Roman" w:cs="Calibri" w:ascii="Calibri" w:hAnsi="Calibri" w:asciiTheme="minorHAnsi" w:cstheme="minorHAnsi" w:hAnsiTheme="minorHAnsi"/>
          <w:b/>
          <w:lang w:eastAsia="it-IT"/>
        </w:rPr>
        <w:t xml:space="preserve"> </w:t>
      </w:r>
      <w:r>
        <w:rPr>
          <w:rFonts w:eastAsia="Times New Roman" w:cs="Calibri" w:ascii="Calibri" w:hAnsi="Calibri" w:asciiTheme="minorHAnsi" w:cstheme="minorHAnsi" w:hAnsiTheme="minorHAnsi"/>
          <w:b/>
          <w:lang w:eastAsia="it-IT"/>
        </w:rPr>
        <w:t>C I T T A’ D I   GIUGLIANO IN CAMPANIA  - ATS N14</w:t>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(Provincia di NAPOLI)</w:t>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center"/>
        <w:rPr>
          <w:rFonts w:ascii="Calibri" w:hAnsi="Calibri" w:eastAsia="Times New Roman" w:cs="Calibri" w:asciiTheme="minorHAnsi" w:cstheme="minorHAnsi" w:hAnsiTheme="minorHAnsi"/>
          <w:lang w:eastAsia="it-IT"/>
        </w:rPr>
      </w:pPr>
      <w:r>
        <w:rPr>
          <w:rFonts w:eastAsia="Times New Roman" w:cs="Calibri" w:ascii="Calibri" w:hAnsi="Calibri" w:asciiTheme="minorHAnsi" w:cstheme="minorHAnsi" w:hAnsiTheme="minorHAnsi"/>
          <w:lang w:eastAsia="it-IT"/>
        </w:rPr>
        <w:t>Repubblica Italiana</w:t>
      </w:r>
    </w:p>
    <w:p>
      <w:pPr>
        <w:pStyle w:val="Normal"/>
        <w:widowControl/>
        <w:spacing w:before="64" w:after="0"/>
        <w:jc w:val="both"/>
        <w:rPr>
          <w:rFonts w:ascii="Garamond" w:hAnsi="Garamond"/>
        </w:rPr>
      </w:pPr>
      <w:r>
        <w:rPr>
          <w:rStyle w:val="Carpredefinitoparagrafo"/>
          <w:rFonts w:ascii="Times New Roman" w:hAnsi="Times New Roman"/>
          <w:b/>
          <w:spacing w:val="-2"/>
          <w:sz w:val="24"/>
          <w:szCs w:val="24"/>
        </w:rPr>
        <w:t xml:space="preserve">Gara europea a procedura aperta ai sensi dell’art. 71 del D.Lgs. 36/2023 per l’affidamento del servizio integrato di attivazione, gestione ed erogazione di dispositivi socio-educativi territoriali finalizzati al contrasto della povertà educativa minorile, alla prevenzione della dispersione scolastica, alla promozione dell’inclusione sociale e alla realizzazione di percorsi educativi personalizzati in favore di minori e nuclei familiari vulnerabili nell’ambito del Progetto “ComeTe – Sostenere passioni, competenze e desideri" </w:t>
      </w:r>
    </w:p>
    <w:p>
      <w:pPr>
        <w:pStyle w:val="Normal"/>
        <w:tabs>
          <w:tab w:val="clear" w:pos="720"/>
          <w:tab w:val="left" w:pos="2321" w:leader="none"/>
        </w:tabs>
        <w:ind w:left="175" w:right="-236" w:hanging="0"/>
        <w:jc w:val="both"/>
        <w:rPr>
          <w:rFonts w:ascii="Calibri" w:hAnsi="Calibri"/>
        </w:rPr>
      </w:pPr>
      <w:r>
        <w:rPr>
          <w:rFonts w:cs="Calibri" w:ascii="Calibri" w:hAnsi="Calibri" w:asciiTheme="minorHAnsi" w:cstheme="minorHAnsi" w:hAnsiTheme="minorHAnsi"/>
          <w:b/>
          <w:spacing w:val="-2"/>
        </w:rPr>
        <w:t>C.I.G.:</w:t>
      </w:r>
      <w:r>
        <w:rPr>
          <w:rFonts w:cs="Calibri" w:ascii="Calibri" w:hAnsi="Calibri" w:asciiTheme="minorHAnsi" w:cstheme="minorHAnsi" w:hAnsiTheme="minorHAnsi"/>
          <w:u w:val="single"/>
        </w:rPr>
        <w:tab/>
      </w:r>
      <w:r>
        <w:rPr>
          <w:rFonts w:cs="Calibri" w:ascii="Calibri" w:hAnsi="Calibri" w:asciiTheme="minorHAnsi" w:cstheme="minorHAnsi" w:hAnsiTheme="minorHAnsi"/>
          <w:b/>
          <w:spacing w:val="-10"/>
        </w:rPr>
        <w:t>;</w:t>
      </w:r>
    </w:p>
    <w:p>
      <w:pPr>
        <w:pStyle w:val="Normal"/>
        <w:tabs>
          <w:tab w:val="clear" w:pos="720"/>
          <w:tab w:val="left" w:pos="4710" w:leader="none"/>
        </w:tabs>
        <w:ind w:left="175" w:right="-236" w:hanging="0"/>
        <w:jc w:val="both"/>
        <w:rPr>
          <w:rFonts w:ascii="Calibri" w:hAnsi="Calibri"/>
        </w:rPr>
      </w:pPr>
      <w:r>
        <w:rPr>
          <w:rFonts w:cs="Calibri" w:ascii="Calibri" w:hAnsi="Calibri" w:asciiTheme="minorHAnsi" w:cstheme="minorHAnsi" w:hAnsiTheme="minorHAnsi"/>
          <w:b/>
        </w:rPr>
        <w:t>CUP.:_______________;</w:t>
      </w:r>
    </w:p>
    <w:p>
      <w:pPr>
        <w:pStyle w:val="Normal"/>
        <w:tabs>
          <w:tab w:val="clear" w:pos="720"/>
          <w:tab w:val="left" w:pos="4710" w:leader="none"/>
        </w:tabs>
        <w:ind w:left="175" w:right="-236" w:hanging="0"/>
        <w:rPr>
          <w:rFonts w:ascii="Calibri" w:hAnsi="Calibri" w:cs="Calibri" w:asciiTheme="minorHAnsi" w:cstheme="minorHAnsi" w:hAnsiTheme="minorHAnsi"/>
          <w:b/>
          <w:b/>
        </w:rPr>
      </w:pPr>
      <w:r>
        <w:rPr>
          <w:rFonts w:cs="Calibri" w:cstheme="minorHAnsi" w:ascii="Calibri" w:hAnsi="Calibri"/>
          <w:b/>
        </w:rPr>
      </w:r>
    </w:p>
    <w:p>
      <w:pPr>
        <w:pStyle w:val="Normal"/>
        <w:tabs>
          <w:tab w:val="clear" w:pos="720"/>
          <w:tab w:val="left" w:pos="4710" w:leader="none"/>
        </w:tabs>
        <w:ind w:left="175" w:right="-236" w:hanging="0"/>
        <w:rPr>
          <w:rFonts w:ascii="Calibri" w:hAnsi="Calibri"/>
        </w:rPr>
      </w:pPr>
      <w:r>
        <w:rPr>
          <w:rFonts w:cs="Calibri" w:ascii="Calibri" w:hAnsi="Calibri" w:asciiTheme="minorHAnsi" w:cstheme="minorHAnsi" w:hAnsiTheme="minorHAnsi"/>
          <w:b/>
        </w:rPr>
        <w:t>Valore</w:t>
      </w:r>
      <w:r>
        <w:rPr>
          <w:rFonts w:cs="Calibri" w:ascii="Calibri" w:hAnsi="Calibri" w:asciiTheme="minorHAnsi" w:cstheme="minorHAnsi" w:hAnsiTheme="minorHAnsi"/>
          <w:b/>
          <w:spacing w:val="-5"/>
        </w:rPr>
        <w:t xml:space="preserve"> </w:t>
      </w:r>
      <w:r>
        <w:rPr>
          <w:rFonts w:cs="Calibri" w:ascii="Calibri" w:hAnsi="Calibri" w:asciiTheme="minorHAnsi" w:cstheme="minorHAnsi" w:hAnsiTheme="minorHAnsi"/>
          <w:b/>
        </w:rPr>
        <w:t>Complessivo</w:t>
      </w:r>
      <w:r>
        <w:rPr>
          <w:rFonts w:cs="Calibri" w:ascii="Calibri" w:hAnsi="Calibri" w:asciiTheme="minorHAnsi" w:cstheme="minorHAnsi" w:hAnsiTheme="minorHAnsi"/>
          <w:b/>
          <w:spacing w:val="-5"/>
        </w:rPr>
        <w:t xml:space="preserve"> </w:t>
      </w:r>
      <w:r>
        <w:rPr>
          <w:rFonts w:cs="Calibri" w:ascii="Calibri" w:hAnsi="Calibri" w:asciiTheme="minorHAnsi" w:cstheme="minorHAnsi" w:hAnsiTheme="minorHAnsi"/>
          <w:b/>
        </w:rPr>
        <w:t>Contratto</w:t>
      </w:r>
      <w:r>
        <w:rPr>
          <w:rFonts w:cs="Calibri" w:ascii="Calibri" w:hAnsi="Calibri" w:asciiTheme="minorHAnsi" w:cstheme="minorHAnsi" w:hAnsiTheme="minorHAnsi"/>
          <w:b/>
          <w:spacing w:val="-3"/>
        </w:rPr>
        <w:t xml:space="preserve"> </w:t>
      </w:r>
      <w:r>
        <w:rPr>
          <w:rFonts w:cs="Calibri" w:ascii="Calibri" w:hAnsi="Calibri" w:asciiTheme="minorHAnsi" w:cstheme="minorHAnsi" w:hAnsiTheme="minorHAnsi"/>
        </w:rPr>
        <w:t>:</w:t>
      </w:r>
      <w:r>
        <w:rPr>
          <w:rFonts w:cs="Calibri" w:ascii="Calibri" w:hAnsi="Calibri" w:asciiTheme="minorHAnsi" w:cstheme="minorHAnsi" w:hAnsiTheme="minorHAnsi"/>
          <w:spacing w:val="-4"/>
        </w:rPr>
        <w:t xml:space="preserve"> </w:t>
      </w:r>
      <w:r>
        <w:rPr>
          <w:rFonts w:cs="Calibri" w:ascii="Calibri" w:hAnsi="Calibri" w:asciiTheme="minorHAnsi" w:cstheme="minorHAnsi" w:hAnsiTheme="minorHAnsi"/>
          <w:spacing w:val="-5"/>
        </w:rPr>
        <w:t>€.</w:t>
      </w:r>
      <w:r>
        <w:rPr>
          <w:rFonts w:cs="Calibri" w:ascii="Calibri" w:hAnsi="Calibri" w:asciiTheme="minorHAnsi" w:cstheme="minorHAnsi" w:hAnsiTheme="minorHAnsi"/>
          <w:u w:val="single"/>
        </w:rPr>
        <w:tab/>
      </w:r>
      <w:r>
        <w:rPr>
          <w:rFonts w:cs="Calibri" w:ascii="Calibri" w:hAnsi="Calibri" w:asciiTheme="minorHAnsi" w:cstheme="minorHAnsi" w:hAnsiTheme="minorHAnsi"/>
        </w:rPr>
        <w:t>oltre</w:t>
      </w:r>
      <w:r>
        <w:rPr>
          <w:rFonts w:cs="Calibri" w:ascii="Calibri" w:hAnsi="Calibri" w:asciiTheme="minorHAnsi" w:cstheme="minorHAnsi" w:hAnsiTheme="minorHAnsi"/>
          <w:spacing w:val="-5"/>
        </w:rPr>
        <w:t xml:space="preserve"> </w:t>
      </w:r>
      <w:r>
        <w:rPr>
          <w:rFonts w:cs="Calibri" w:ascii="Calibri" w:hAnsi="Calibri" w:asciiTheme="minorHAnsi" w:cstheme="minorHAnsi" w:hAnsiTheme="minorHAnsi"/>
        </w:rPr>
        <w:t>IVA</w:t>
      </w:r>
      <w:r>
        <w:rPr>
          <w:rFonts w:cs="Calibri" w:ascii="Calibri" w:hAnsi="Calibri" w:asciiTheme="minorHAnsi" w:cstheme="minorHAnsi" w:hAnsiTheme="minorHAnsi"/>
          <w:spacing w:val="-3"/>
        </w:rPr>
        <w:t xml:space="preserve"> </w:t>
      </w:r>
      <w:r>
        <w:rPr>
          <w:rFonts w:cs="Calibri" w:ascii="Calibri" w:hAnsi="Calibri" w:asciiTheme="minorHAnsi" w:cstheme="minorHAnsi" w:hAnsiTheme="minorHAnsi"/>
          <w:spacing w:val="-10"/>
        </w:rPr>
        <w:t>;</w:t>
      </w:r>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L’anno ______________, il giorno _____________ del mese di ______________ in Giugliano in Campania e nella sede comunale, avanti a me Dr.  _________________, Segretario Generale del Comune di Giugliano in Campania, abilitato a rogare contratti per l’Ente, si sono personalmente costituiti:                                                                                                                                    </w:t>
        <w:tab/>
        <w:tab/>
        <w:t xml:space="preserve"> ============================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 Il Comune di Giugliano in Campania (CF: 80049220637) in persona del Dirigente dell’Ambito N14 __________________________, autorizzato alla stipula della presente Convenzione, in virtù del Decreto _______________________ dom.to per la carica presso la sede municipale, che dichiara di agire e stipulare in nome, per conto e nell'esclusivo interesse del Comune medesimo, in qualità di capofila dell’Ambito N14, in virtù dello Statuto Comunale e del Regolamento Comunale per la disciplina dei contratti, della convenzione ex art. 30 del TUEL il quale dichiara: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 di non avere avuto rapporti di natura privatistica con i firmatari della Società nel biennio precedente alla presente stipula (art. 14 D.P.R. n. 62/2013 “Codice di comportamento dei dipendenti pubblici”);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che “non esistono relazioni di parentela o affinità tra i propri dipendenti ed il funzionario ed i soggetti facenti parte dell'impresa aggiudicataria dell'appalto in oggetto”.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 L’operatore economico </w:t>
      </w:r>
      <w:r>
        <w:rPr>
          <w:rFonts w:eastAsia="Times New Roman" w:cs="Calibri" w:ascii="Calibri" w:hAnsi="Calibri" w:asciiTheme="minorHAnsi" w:cstheme="minorHAnsi" w:hAnsiTheme="minorHAnsi"/>
          <w:bCs/>
          <w:lang w:eastAsia="it-IT"/>
        </w:rPr>
        <w:t>_________________ P. IVA ___________________, con sede legale in __________________________,</w:t>
      </w:r>
      <w:r>
        <w:rPr>
          <w:rFonts w:eastAsia="Times New Roman" w:cs="Calibri" w:ascii="Calibri" w:hAnsi="Calibri" w:asciiTheme="minorHAnsi" w:cstheme="minorHAnsi" w:hAnsiTheme="minorHAnsi"/>
          <w:lang w:eastAsia="it-IT"/>
        </w:rPr>
        <w:t xml:space="preserve"> legalmente rappresentata dal Sig. _____________________, nato a __________________ il _________________ in qualità di _________________;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Dell’identità delle parti, Io Segretario Generale sono certo, le quali con il mio consenso, rinunciano alla presenza dei testi nella stesura del presente atto.</w:t>
      </w:r>
    </w:p>
    <w:p>
      <w:pPr>
        <w:pStyle w:val="Corpodeltesto"/>
        <w:tabs>
          <w:tab w:val="clear" w:pos="720"/>
          <w:tab w:val="left" w:pos="2774" w:leader="none"/>
          <w:tab w:val="left" w:pos="6187" w:leader="none"/>
          <w:tab w:val="left" w:pos="9099" w:leader="none"/>
        </w:tabs>
        <w:spacing w:before="1" w:after="0"/>
        <w:ind w:left="175" w:right="-236" w:hanging="0"/>
        <w:jc w:val="left"/>
        <w:rPr>
          <w:rFonts w:ascii="Calibri" w:hAnsi="Calibri" w:cs="Calibri" w:asciiTheme="minorHAnsi" w:cstheme="minorHAnsi" w:hAnsiTheme="minorHAnsi"/>
          <w:color w:val="FF0000"/>
          <w:spacing w:val="-2"/>
          <w:sz w:val="22"/>
          <w:szCs w:val="22"/>
        </w:rPr>
      </w:pPr>
      <w:r>
        <w:rPr>
          <w:rFonts w:cs="Calibri" w:cstheme="minorHAnsi" w:ascii="Calibri" w:hAnsi="Calibri"/>
          <w:color w:val="FF0000"/>
          <w:spacing w:val="-2"/>
          <w:sz w:val="22"/>
          <w:szCs w:val="22"/>
        </w:rPr>
      </w:r>
    </w:p>
    <w:p>
      <w:pPr>
        <w:pStyle w:val="Normal"/>
        <w:widowControl/>
        <w:jc w:val="center"/>
        <w:rPr>
          <w:rFonts w:ascii="Calibri" w:hAnsi="Calibri"/>
        </w:rPr>
      </w:pPr>
      <w:r>
        <w:rPr>
          <w:rFonts w:eastAsia="Times New Roman" w:cs="Calibri" w:ascii="Calibri" w:hAnsi="Calibri" w:asciiTheme="minorHAnsi" w:cstheme="minorHAnsi" w:hAnsiTheme="minorHAnsi"/>
          <w:b/>
          <w:lang w:eastAsia="it-IT"/>
        </w:rPr>
        <w:t>PREMESSO</w:t>
      </w:r>
    </w:p>
    <w:p>
      <w:pPr>
        <w:pStyle w:val="Normal"/>
        <w:widowControl/>
        <w:numPr>
          <w:ilvl w:val="0"/>
          <w:numId w:val="1"/>
        </w:numPr>
        <w:spacing w:before="0" w:after="0"/>
        <w:ind w:left="142" w:hanging="284"/>
        <w:contextualSpacing/>
        <w:jc w:val="both"/>
        <w:rPr>
          <w:rFonts w:ascii="Calibri" w:hAnsi="Calibri"/>
        </w:rPr>
      </w:pPr>
      <w:r>
        <w:rPr>
          <w:rFonts w:eastAsia="Times New Roman" w:cs="Calibri" w:ascii="Calibri" w:hAnsi="Calibri" w:asciiTheme="minorHAnsi" w:cstheme="minorHAnsi" w:hAnsiTheme="minorHAnsi"/>
          <w:lang w:eastAsia="it-IT"/>
        </w:rPr>
        <w:t>che con la Delibera di Giunta n. 320 del 03/07/12 la Regione Campania ha determinato i nuovi Ambiti Territoriali, completando il processo di riallineamento tra Ambiti e Distretti Sanitari avviato in precedenza, istituendo a far data dal 01/01/13 il nuovo Ambito N14 – Comune di Giugliano in Campania</w:t>
      </w:r>
      <w:r>
        <w:rPr>
          <w:rFonts w:eastAsia="Times New Roman" w:cs="Calibri" w:ascii="Calibri" w:hAnsi="Calibri" w:asciiTheme="minorHAnsi" w:cstheme="minorHAnsi" w:hAnsiTheme="minorHAnsi"/>
          <w:color w:val="FF0000"/>
          <w:lang w:eastAsia="it-IT"/>
        </w:rPr>
        <w:t>;</w:t>
      </w:r>
    </w:p>
    <w:p>
      <w:pPr>
        <w:pStyle w:val="Normal"/>
        <w:widowControl/>
        <w:numPr>
          <w:ilvl w:val="0"/>
          <w:numId w:val="1"/>
        </w:numPr>
        <w:spacing w:before="0" w:after="0"/>
        <w:ind w:left="142" w:hanging="284"/>
        <w:contextualSpacing/>
        <w:jc w:val="both"/>
        <w:rPr/>
      </w:pPr>
      <w:r>
        <w:rPr>
          <w:rFonts w:eastAsia="Times New Roman" w:cs="Calibri" w:ascii="Calibri" w:hAnsi="Calibri" w:asciiTheme="minorHAnsi" w:cstheme="minorHAnsi" w:hAnsiTheme="minorHAnsi"/>
          <w:lang w:eastAsia="it-IT"/>
        </w:rPr>
        <w:t xml:space="preserve">che con decisione a contrarre n_____del_______ è stata approvata </w:t>
      </w:r>
      <w:r>
        <w:rPr>
          <w:rFonts w:eastAsia="Times New Roman" w:cs="Calibri" w:ascii="Calibri" w:hAnsi="Calibri" w:asciiTheme="minorHAnsi" w:cstheme="minorHAnsi" w:hAnsiTheme="minorHAnsi"/>
          <w:b w:val="false"/>
          <w:bCs w:val="false"/>
          <w:color w:val="auto"/>
          <w:kern w:val="0"/>
          <w:sz w:val="22"/>
          <w:szCs w:val="22"/>
          <w:lang w:val="it-IT" w:eastAsia="it-IT" w:bidi="ar-SA"/>
        </w:rPr>
        <w:t>la G</w:t>
      </w:r>
      <w:r>
        <w:rPr>
          <w:rStyle w:val="Carpredefinitoparagrafo"/>
          <w:rFonts w:eastAsia="Times New Roman" w:cs="Calibri" w:ascii="Calibri" w:hAnsi="Calibri" w:asciiTheme="minorHAnsi" w:cstheme="minorHAnsi" w:hAnsiTheme="minorHAnsi"/>
          <w:b w:val="false"/>
          <w:bCs w:val="false"/>
          <w:color w:val="auto"/>
          <w:spacing w:val="-2"/>
          <w:kern w:val="0"/>
          <w:sz w:val="22"/>
          <w:szCs w:val="22"/>
          <w:lang w:val="it-IT" w:eastAsia="it-IT" w:bidi="ar-SA"/>
        </w:rPr>
        <w:t>ARA EUROPEA A PROCEDURA APERTA AI SENSI DELL’ART. 71 DEL D.LGS. 36/2023 PER L’AFFIDAMENTO DEL SERVIZIO INTEGRATO DI ATTIVAZIONE, GESTIONE ED EROGAZIONE DI DISPOSITIVI SOCIO-EDUCATIVI TERRITORIALI FINALIZZATI AL CONTRASTO DELLA POVERTÀ EDUCATIVA MINORILE, ALLA PREVENZIONE DELLA DISPERSIONE SCOLASTICA, ALLA PROMOZIONE DELL’INCLUSIONE SOCIALE E ALLA REALIZZAZIONE DI PERCORSI EDUCATIVI PERSONALIZZATI IN FAVORE DI MINORI E NUCLEI FAMILIARI VULNERABILI,  PER LA DURATA DI N. 4 ANNI.</w:t>
      </w:r>
    </w:p>
    <w:p>
      <w:pPr>
        <w:pStyle w:val="Normal"/>
        <w:widowControl/>
        <w:numPr>
          <w:ilvl w:val="0"/>
          <w:numId w:val="1"/>
        </w:numPr>
        <w:spacing w:before="0" w:after="0"/>
        <w:ind w:left="142" w:hanging="284"/>
        <w:contextualSpacing/>
        <w:jc w:val="both"/>
        <w:rPr>
          <w:rFonts w:ascii="Calibri" w:hAnsi="Calibri"/>
        </w:rPr>
      </w:pPr>
      <w:r>
        <w:rPr>
          <w:rFonts w:eastAsia="Times New Roman" w:cs="Calibri" w:ascii="Calibri" w:hAnsi="Calibri" w:asciiTheme="minorHAnsi" w:cstheme="minorHAnsi" w:hAnsiTheme="minorHAnsi"/>
          <w:lang w:eastAsia="it-IT"/>
        </w:rPr>
        <w:t>che l’articolo 1, comma 450 della L. 296/2006 e ss.mm..ii, il quale dispone che le amministrazioni pubbliche di cui all'articolo 1 del decreto legislativo 30 marzo 2001, n. 165 sono tenute a servirsi del Mercato elettronico o dei sistemi telematici di negoziazione resi disponibili dalle centrali nazionali o regionali di riferimento, ove esistenti, per gli acquisti di valore pari o superiore a € 5.000,00, sino al sotto soglia;</w:t>
      </w:r>
    </w:p>
    <w:p>
      <w:pPr>
        <w:pStyle w:val="Normal"/>
        <w:widowControl/>
        <w:numPr>
          <w:ilvl w:val="0"/>
          <w:numId w:val="1"/>
        </w:numPr>
        <w:spacing w:before="0" w:after="0"/>
        <w:ind w:left="142" w:hanging="284"/>
        <w:contextualSpacing/>
        <w:jc w:val="both"/>
        <w:rPr>
          <w:rFonts w:ascii="Calibri" w:hAnsi="Calibri"/>
        </w:rPr>
      </w:pPr>
      <w:r>
        <w:rPr>
          <w:rFonts w:eastAsia="Times New Roman" w:cs="Calibri" w:ascii="Calibri" w:hAnsi="Calibri" w:asciiTheme="minorHAnsi" w:cstheme="minorHAnsi" w:hAnsiTheme="minorHAnsi"/>
          <w:lang w:eastAsia="it-IT"/>
        </w:rPr>
        <w:t>che con medesima determina venivano approvati gli atti di gara quali il bando di gara/disciplinare e il capitolato speciale d’appalto nonché il modello di ISTANZA, il Patto di Integrità e Protocollo di Legalità, DGUE, il modello di offerta economica e gli altri eventuali documenti allegati alla determinazione quale parte integrante e sostanziale;</w:t>
      </w:r>
    </w:p>
    <w:p>
      <w:pPr>
        <w:pStyle w:val="Normal"/>
        <w:widowControl/>
        <w:numPr>
          <w:ilvl w:val="0"/>
          <w:numId w:val="1"/>
        </w:numPr>
        <w:spacing w:before="0" w:after="0"/>
        <w:ind w:left="0" w:hanging="0"/>
        <w:contextualSpacing/>
        <w:jc w:val="both"/>
        <w:rPr>
          <w:rFonts w:ascii="Calibri" w:hAnsi="Calibri"/>
        </w:rPr>
      </w:pPr>
      <w:r>
        <w:rPr>
          <w:rFonts w:eastAsia="Times New Roman" w:cs="Calibri" w:ascii="Calibri" w:hAnsi="Calibri" w:asciiTheme="minorHAnsi" w:cstheme="minorHAnsi" w:hAnsiTheme="minorHAnsi"/>
          <w:lang w:eastAsia="it-IT"/>
        </w:rPr>
        <w:t xml:space="preserve">che con determinazione dirigenziale n° ___del________ </w:t>
      </w:r>
      <w:r>
        <w:rPr>
          <w:rFonts w:eastAsia="Calibri" w:cs="Calibri" w:ascii="Calibri" w:hAnsi="Calibri" w:asciiTheme="minorHAnsi" w:cstheme="minorHAnsi" w:hAnsiTheme="minorHAnsi"/>
        </w:rPr>
        <w:t>si è dato atto dell’intervenuta efficacia dell’aggiudicazione</w:t>
      </w:r>
      <w:r>
        <w:rPr>
          <w:rFonts w:eastAsia="Times New Roman" w:cs="Calibri" w:ascii="Calibri" w:hAnsi="Calibri" w:asciiTheme="minorHAnsi" w:cstheme="minorHAnsi" w:hAnsiTheme="minorHAnsi"/>
          <w:lang w:eastAsia="it-IT"/>
        </w:rPr>
        <w:t xml:space="preserve"> del servizio in argomento alla Ditta </w:t>
      </w:r>
      <w:r>
        <w:rPr>
          <w:rFonts w:eastAsia="Times New Roman" w:cs="Calibri" w:ascii="Calibri" w:hAnsi="Calibri" w:asciiTheme="minorHAnsi" w:cstheme="minorHAnsi" w:hAnsiTheme="minorHAnsi"/>
          <w:bCs/>
          <w:lang w:eastAsia="it-IT"/>
        </w:rPr>
        <w:t>____________________________che ha ottenuto il maggior punteggio pari a punti ____________</w:t>
      </w:r>
      <w:r>
        <w:rPr>
          <w:rFonts w:eastAsia="Times New Roman" w:cs="Calibri" w:ascii="Calibri" w:hAnsi="Calibri" w:asciiTheme="minorHAnsi" w:cstheme="minorHAnsi" w:hAnsiTheme="minorHAnsi"/>
          <w:lang w:eastAsia="it-IT"/>
        </w:rPr>
        <w:t xml:space="preserve">; </w:t>
      </w:r>
    </w:p>
    <w:p>
      <w:pPr>
        <w:pStyle w:val="Normal"/>
        <w:widowControl/>
        <w:numPr>
          <w:ilvl w:val="0"/>
          <w:numId w:val="1"/>
        </w:numPr>
        <w:spacing w:before="0" w:after="0"/>
        <w:ind w:left="142" w:hanging="284"/>
        <w:contextualSpacing/>
        <w:jc w:val="both"/>
        <w:rPr>
          <w:rFonts w:ascii="Calibri" w:hAnsi="Calibri"/>
        </w:rPr>
      </w:pPr>
      <w:r>
        <w:rPr>
          <w:rFonts w:eastAsia="Times New Roman" w:cs="Calibri" w:ascii="Calibri" w:hAnsi="Calibri" w:asciiTheme="minorHAnsi" w:cstheme="minorHAnsi" w:hAnsiTheme="minorHAnsi"/>
          <w:lang w:eastAsia="it-IT"/>
        </w:rPr>
        <w:t>che venivano effettuati tutti i controlli ai sensi della vigente normativa per l’O.E. affidatario agli atti dell’ufficio tramite sistema FVOE;</w:t>
      </w:r>
    </w:p>
    <w:p>
      <w:pPr>
        <w:pStyle w:val="Normal"/>
        <w:widowControl/>
        <w:ind w:left="142" w:hanging="284"/>
        <w:jc w:val="both"/>
        <w:rPr>
          <w:rFonts w:ascii="Calibri" w:hAnsi="Calibri"/>
        </w:rPr>
      </w:pPr>
      <w:r>
        <w:rPr>
          <w:rFonts w:eastAsia="Times New Roman" w:cs="Calibri" w:ascii="Calibri" w:hAnsi="Calibri" w:asciiTheme="minorHAnsi" w:cstheme="minorHAnsi" w:hAnsiTheme="minorHAnsi"/>
          <w:lang w:eastAsia="it-IT"/>
        </w:rPr>
        <w:t>-   -   acquisito il DURC “regolare” (documento unico regolarità contributiva) on line - protocollo ______________ – con scadenza validità _____________;</w:t>
      </w:r>
    </w:p>
    <w:p>
      <w:pPr>
        <w:pStyle w:val="Normal"/>
        <w:widowControl/>
        <w:tabs>
          <w:tab w:val="clear" w:pos="720"/>
          <w:tab w:val="left" w:pos="0" w:leader="none"/>
        </w:tabs>
        <w:ind w:left="142" w:hanging="284"/>
        <w:jc w:val="both"/>
        <w:rPr>
          <w:rFonts w:ascii="Calibri" w:hAnsi="Calibri"/>
        </w:rPr>
      </w:pPr>
      <w:r>
        <w:rPr>
          <w:rFonts w:eastAsia="Times New Roman" w:cs="Calibri" w:ascii="Calibri" w:hAnsi="Calibri" w:asciiTheme="minorHAnsi" w:cstheme="minorHAnsi" w:hAnsiTheme="minorHAnsi"/>
          <w:lang w:eastAsia="it-IT"/>
        </w:rPr>
        <w:t>-</w:t>
        <w:tab/>
        <w:t xml:space="preserve">  che nel presente contratto sono integralmente richiamate le norme previste dalla Legge n. 190/2012 “Disposizioni per la prevenzione e la repressione della corruzione e dell'illegalità nella Pubblica Amministrazione” e dal Codice di comportamento dei dipendenti pubblici approvato con D.P.R. n. 62/2013;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Al riguardo, l'aggiudicatario dichiara di non essere incorso, negli ultimi tre anni, nella violazione dell'art. 53 comma 16 – ter del D. Lgs. n. 165/2001, così come interpretato dall'art. 21 del D. Lgs. n. 39/2013 e si obbliga altresì, al rispetto del codice di comportamento dei dipendenti pubblici approvato con D.P.R. n. 62/2013;</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L'aggiudicatario dichiara inoltre:</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 di essere edotto degli obblighi derivanti dal codice di comportamento integrativo dei dipendenti del Comune di Giugliano in Campania (Na), e si impegna, in caso di aggiudicazione, ad osservare e a fare osservare ai propri dipendenti e collaboratori il suddetto codice, pena la risoluzione del contratto;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b) La violazione degli obblighi di comportamento comporterà per l'Amministrazione la facoltà di risolvere il contratto, qualora in ragione della gravità o della reiterazione, la stessa sia ritenuta grave;</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Tanto premesso, le parti, come sopra costituite di comune accordo, convengono e stipulano quanto segue.</w:t>
      </w:r>
    </w:p>
    <w:p>
      <w:pPr>
        <w:pStyle w:val="Titolo1"/>
        <w:ind w:left="25" w:right="-236" w:hanging="0"/>
        <w:jc w:val="center"/>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ART.1 - PREMESSA</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 premessa narrativa forma parte integrante del presente atto.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2 – OGGETTO</w:t>
      </w:r>
    </w:p>
    <w:p>
      <w:pPr>
        <w:pStyle w:val="Normal"/>
        <w:widowControl/>
        <w:jc w:val="both"/>
        <w:rPr/>
      </w:pPr>
      <w:r>
        <w:rPr>
          <w:rFonts w:eastAsia="Times New Roman" w:cs="Calibri" w:ascii="Calibri" w:hAnsi="Calibri" w:asciiTheme="minorHAnsi" w:cstheme="minorHAnsi" w:hAnsiTheme="minorHAnsi"/>
          <w:lang w:eastAsia="it-IT"/>
        </w:rPr>
        <w:t xml:space="preserve">Il comune, in qualità di ente capofila dell’ambito n14, stipula con l’operatore economico </w:t>
      </w:r>
      <w:r>
        <w:rPr>
          <w:rFonts w:eastAsia="Times New Roman" w:cs="Calibri" w:ascii="Calibri" w:hAnsi="Calibri" w:asciiTheme="minorHAnsi" w:cstheme="minorHAnsi" w:hAnsiTheme="minorHAnsi"/>
          <w:bCs/>
          <w:lang w:eastAsia="it-IT"/>
        </w:rPr>
        <w:t>_______________________________,</w:t>
      </w:r>
      <w:r>
        <w:rPr>
          <w:rFonts w:eastAsia="Times New Roman" w:cs="Calibri" w:ascii="Calibri" w:hAnsi="Calibri" w:asciiTheme="minorHAnsi" w:cstheme="minorHAnsi" w:hAnsiTheme="minorHAnsi"/>
          <w:lang w:eastAsia="it-IT"/>
        </w:rPr>
        <w:t xml:space="preserve"> legalmente rappresentata dal sig. ______________________________ in qualità di ________________________, un accordo quadro ovvero un contratto normativo preliminare per </w:t>
      </w:r>
      <w:r>
        <w:rPr>
          <w:rFonts w:eastAsia="Times New Roman" w:cs="Calibri" w:ascii="Calibri" w:hAnsi="Calibri" w:asciiTheme="minorHAnsi" w:cstheme="minorHAnsi" w:hAnsiTheme="minorHAnsi"/>
          <w:b/>
          <w:bCs/>
          <w:sz w:val="22"/>
          <w:szCs w:val="22"/>
          <w:lang w:eastAsia="it-IT"/>
        </w:rPr>
        <w:t xml:space="preserve">definire le condizioni generali per futuri e specifici appalti </w:t>
      </w:r>
      <w:r>
        <w:rPr>
          <w:rFonts w:eastAsia="Times New Roman" w:cs="Calibri" w:ascii="Calibri" w:hAnsi="Calibri" w:asciiTheme="minorHAnsi" w:cstheme="minorHAnsi" w:hAnsiTheme="minorHAnsi"/>
          <w:sz w:val="22"/>
          <w:szCs w:val="22"/>
          <w:lang w:eastAsia="it-IT"/>
        </w:rPr>
        <w:t xml:space="preserve">aventi ad oggetto la gestione del servizio </w:t>
      </w:r>
      <w:r>
        <w:rPr>
          <w:rStyle w:val="Carpredefinitoparagrafo"/>
          <w:rFonts w:eastAsia="Times New Roman" w:cs="Times New Roman" w:ascii="Calibri" w:hAnsi="Calibri" w:asciiTheme="minorHAnsi" w:hAnsiTheme="minorHAnsi"/>
          <w:b w:val="false"/>
          <w:bCs w:val="false"/>
          <w:color w:val="000000"/>
          <w:spacing w:val="-2"/>
          <w:kern w:val="0"/>
          <w:sz w:val="22"/>
          <w:szCs w:val="22"/>
          <w:lang w:eastAsia="en-US"/>
        </w:rPr>
        <w:t>integrato di attivazione, gestione ed erogazione di dispositivi socio-educativi territoriali finalizzati al contrasto della povertà educativa minorile, alla prevenzione della dispersione scolastica, alla promozione dell’inclusione sociale e alla realizzazione di percorsi educativi personalizzati in favore di minori e nuclei familiari vulnerabili,  per la durata di n. 4 anni</w:t>
      </w:r>
      <w:r>
        <w:rPr>
          <w:rStyle w:val="Carpredefinitoparagrafo"/>
          <w:rFonts w:eastAsia="Times New Roman" w:cs="Times New Roman" w:ascii="Calibri" w:hAnsi="Calibri" w:asciiTheme="minorHAnsi" w:hAnsiTheme="minorHAnsi"/>
          <w:b/>
          <w:color w:val="000000"/>
          <w:spacing w:val="-2"/>
          <w:kern w:val="0"/>
          <w:sz w:val="22"/>
          <w:szCs w:val="22"/>
          <w:lang w:eastAsia="en-US"/>
        </w:rPr>
        <w:t>.</w:t>
      </w:r>
    </w:p>
    <w:p>
      <w:pPr>
        <w:pStyle w:val="Corpodeltesto"/>
        <w:spacing w:lineRule="exact" w:line="232"/>
        <w:ind w:left="175" w:right="52" w:hanging="0"/>
        <w:jc w:val="both"/>
        <w:rPr/>
      </w:pPr>
      <w:r>
        <w:rPr>
          <w:rFonts w:ascii="Calibri" w:hAnsi="Calibri"/>
          <w:sz w:val="22"/>
          <w:szCs w:val="22"/>
        </w:rPr>
        <w:t xml:space="preserve">Il servizio oggetto del presente capitolato riguarda la gestione </w:t>
      </w:r>
      <w:r>
        <w:rPr>
          <w:rStyle w:val="Carpredefinitoparagrafo"/>
          <w:rFonts w:ascii="Calibri" w:hAnsi="Calibri"/>
          <w:b w:val="false"/>
          <w:sz w:val="22"/>
          <w:szCs w:val="22"/>
        </w:rPr>
        <w:t>integrata dei dispositivi socio-educativi territoriali previsti dal progetto “ComeTE – Sostenere passioni, competenze e desideri”, finanziato nell’ambito del Programma Nazionale Inclusione e lotta alla povertà 2021-2027 – Priorità 2 “Child Guarantee”, Obiettivo Specifico ESO 4.12 FSE+.</w:t>
      </w:r>
    </w:p>
    <w:p>
      <w:pPr>
        <w:pStyle w:val="Corpodeltesto"/>
        <w:spacing w:lineRule="exact" w:line="232"/>
        <w:ind w:left="142" w:right="52" w:hanging="0"/>
        <w:jc w:val="both"/>
        <w:rPr>
          <w:rFonts w:ascii="Calibri" w:hAnsi="Calibri"/>
          <w:b w:val="false"/>
          <w:b w:val="false"/>
          <w:sz w:val="22"/>
          <w:szCs w:val="22"/>
        </w:rPr>
      </w:pPr>
      <w:r>
        <w:rPr>
          <w:rFonts w:ascii="Calibri" w:hAnsi="Calibri"/>
          <w:b w:val="false"/>
          <w:sz w:val="22"/>
          <w:szCs w:val="22"/>
        </w:rPr>
      </w:r>
    </w:p>
    <w:p>
      <w:pPr>
        <w:pStyle w:val="Corpodeltesto"/>
        <w:spacing w:lineRule="exact" w:line="232"/>
        <w:ind w:left="142" w:right="52" w:hanging="0"/>
        <w:rPr>
          <w:rFonts w:ascii="Calibri" w:hAnsi="Calibri"/>
        </w:rPr>
      </w:pPr>
      <w:r>
        <w:rPr>
          <w:rFonts w:ascii="Calibri" w:hAnsi="Calibri"/>
        </w:rPr>
      </w:r>
    </w:p>
    <w:p>
      <w:pPr>
        <w:pStyle w:val="Corpodeltesto"/>
        <w:spacing w:lineRule="exact" w:line="232"/>
        <w:ind w:left="142" w:right="52" w:hanging="0"/>
        <w:rPr>
          <w:rFonts w:ascii="Calibri" w:hAnsi="Calibri"/>
        </w:rPr>
      </w:pPr>
      <w:r>
        <w:rPr>
          <w:rFonts w:ascii="Calibri" w:hAnsi="Calibri"/>
        </w:rPr>
      </w:r>
    </w:p>
    <w:p>
      <w:pPr>
        <w:pStyle w:val="Corpodeltesto"/>
        <w:ind w:left="175" w:hanging="0"/>
        <w:rPr/>
      </w:pPr>
      <w:r>
        <w:rPr>
          <w:rStyle w:val="Carpredefinitoparagrafo"/>
          <w:rFonts w:ascii="Calibri" w:hAnsi="Calibri"/>
          <w:b w:val="false"/>
          <w:sz w:val="24"/>
          <w:szCs w:val="24"/>
        </w:rPr>
        <w:t>L’appalto si articola in due componenti strettamente integrate e funzionalmente connesse, entrambe necessarie alla corretta realizzazione degli interventi progettuali.</w:t>
      </w:r>
    </w:p>
    <w:p>
      <w:pPr>
        <w:pStyle w:val="Corpodeltesto"/>
        <w:ind w:left="175" w:hanging="0"/>
        <w:rPr/>
      </w:pPr>
      <w:bookmarkStart w:id="0" w:name="__RefHeading___Toc3359_1028006826"/>
      <w:bookmarkEnd w:id="0"/>
      <w:r>
        <w:rPr>
          <w:rStyle w:val="Carpredefinitoparagrafo"/>
          <w:rFonts w:ascii="Calibri" w:hAnsi="Calibri"/>
          <w:b w:val="false"/>
          <w:sz w:val="24"/>
          <w:szCs w:val="24"/>
        </w:rPr>
        <w:t>La prima componente riguarda l’impiego di figure educative professionali qualificate incaricate della presa in carico socio-educativa dei minori beneficiari, attraverso attività di accompagnamento educativo individualizzato, osservazione e monitoraggio dei percorsi, sostegno relazionale e motivazionale, valorizzazione delle capacità personali, raccordo con il nucleo familiare e collaborazione costante con il Servizio Sociale Professionale e con gli altri soggetti della rete territoriale coinvolti nel progetto.</w:t>
      </w:r>
    </w:p>
    <w:p>
      <w:pPr>
        <w:pStyle w:val="Corpodeltesto"/>
        <w:ind w:left="175" w:hanging="0"/>
        <w:rPr/>
      </w:pPr>
      <w:bookmarkStart w:id="1" w:name="__RefHeading___Toc3357_1028006826"/>
      <w:bookmarkEnd w:id="1"/>
      <w:r>
        <w:rPr>
          <w:rStyle w:val="Carpredefinitoparagrafo"/>
          <w:rFonts w:ascii="Calibri" w:hAnsi="Calibri"/>
          <w:b w:val="false"/>
          <w:sz w:val="24"/>
          <w:szCs w:val="24"/>
        </w:rPr>
        <w:t>La seconda componente riguarda la costituzione, organizzazione e gestione operativa di una banca dati di fornitori qualificati disponibili ad erogare beni, servizi, attività e opportunità educative nell’ambito delle doti socio-educative personalizzate. La banca dati dovrà comprendere soggetti operanti nei settori educativo, culturale, artistico, sportivo, formativo, digitale, ricreativo e socializzante, al fine di garantire ai beneficiari l’accesso ad attività coerenti con i bisogni, le inclinazioni, le passioni e gli obiettivi definiti nei progetti educativi individualizzati.</w:t>
      </w:r>
    </w:p>
    <w:p>
      <w:pPr>
        <w:pStyle w:val="Corpodeltesto"/>
        <w:ind w:left="175" w:hanging="0"/>
        <w:rPr/>
      </w:pPr>
      <w:bookmarkStart w:id="2" w:name="__RefHeading___Toc3355_1028006826"/>
      <w:bookmarkEnd w:id="2"/>
      <w:r>
        <w:rPr>
          <w:rStyle w:val="Carpredefinitoparagrafo"/>
          <w:rFonts w:ascii="Calibri" w:hAnsi="Calibri"/>
          <w:b w:val="false"/>
          <w:sz w:val="24"/>
          <w:szCs w:val="24"/>
        </w:rPr>
        <w:t>L’intervento dovrà essere realizzato mediante un modello organizzativo territoriale e multidisciplinare fondato sulla personalizzazione degli interventi, sulla costruzione di relazioni educative significative, sull’attivazione delle risorse della comunità locale e sulla promozione della partecipazione sociale, educativa e culturale dei minori coinvolti.</w:t>
      </w:r>
    </w:p>
    <w:p>
      <w:pPr>
        <w:pStyle w:val="Corpodeltesto"/>
        <w:ind w:left="175" w:hanging="0"/>
        <w:rPr/>
      </w:pPr>
      <w:bookmarkStart w:id="3" w:name="__RefHeading___Toc3353_1028006826"/>
      <w:bookmarkEnd w:id="3"/>
      <w:r>
        <w:rPr>
          <w:rStyle w:val="Carpredefinitoparagrafo"/>
          <w:rFonts w:ascii="Calibri" w:hAnsi="Calibri"/>
          <w:b w:val="false"/>
          <w:sz w:val="24"/>
          <w:szCs w:val="24"/>
        </w:rPr>
        <w:t>L’aggiudicatario dovrà pertanto garantire un sistema integrato capace di coniugare l’accompagnamento educativo professionale con l’attivazione concreta delle opportunità territoriali disponibili, assicurando continuità educativa, flessibilità organizzativa, raccordo con la rete dei servizi e piena coerenza con le finalità del progetto “ComeTE”.</w:t>
      </w:r>
    </w:p>
    <w:p>
      <w:pPr>
        <w:pStyle w:val="Corpodeltesto"/>
        <w:ind w:left="175" w:hanging="0"/>
        <w:rPr/>
      </w:pPr>
      <w:r>
        <w:rPr>
          <w:rStyle w:val="Carpredefinitoparagrafo"/>
          <w:rFonts w:ascii="Calibri" w:hAnsi="Calibri"/>
          <w:b w:val="false"/>
          <w:bCs w:val="false"/>
          <w:sz w:val="24"/>
          <w:szCs w:val="24"/>
        </w:rPr>
        <w:t xml:space="preserve">Le azioni da realizzare, pertanto, </w:t>
      </w:r>
      <w:r>
        <w:rPr>
          <w:rStyle w:val="Carpredefinitoparagrafo"/>
          <w:rFonts w:eastAsia="Times New Roman" w:cs="Times New Roman" w:ascii="Calibri" w:hAnsi="Calibri"/>
          <w:b w:val="false"/>
          <w:bCs w:val="false"/>
          <w:sz w:val="24"/>
          <w:szCs w:val="24"/>
          <w:lang w:eastAsia="it-IT"/>
        </w:rPr>
        <w:t>consistono in:</w:t>
      </w:r>
    </w:p>
    <w:p>
      <w:pPr>
        <w:pStyle w:val="Normal"/>
        <w:numPr>
          <w:ilvl w:val="0"/>
          <w:numId w:val="2"/>
        </w:numPr>
        <w:rPr/>
      </w:pPr>
      <w:r>
        <w:rPr>
          <w:rStyle w:val="Carpredefinitoparagrafo"/>
          <w:rFonts w:eastAsia="Times New Roman" w:cs="Times New Roman" w:ascii="Calibri" w:hAnsi="Calibri"/>
          <w:b w:val="false"/>
          <w:bCs w:val="false"/>
          <w:sz w:val="24"/>
          <w:szCs w:val="24"/>
          <w:lang w:eastAsia="it-IT"/>
        </w:rPr>
        <w:t>selezione degli operatori con funzioni socio</w:t>
      </w:r>
      <w:r>
        <w:rPr>
          <w:rFonts w:ascii="Calibri" w:hAnsi="Calibri"/>
          <w:b w:val="false"/>
          <w:bCs w:val="false"/>
          <w:sz w:val="24"/>
          <w:szCs w:val="24"/>
        </w:rPr>
        <w:t xml:space="preserve">-educative, per i quali è prevista la copertura di costi per un impegno medio di 20 ore mensili per ciascun destinatario; </w:t>
      </w:r>
    </w:p>
    <w:p>
      <w:pPr>
        <w:pStyle w:val="Normal"/>
        <w:numPr>
          <w:ilvl w:val="0"/>
          <w:numId w:val="2"/>
        </w:numPr>
        <w:rPr>
          <w:rFonts w:ascii="Calibri" w:hAnsi="Calibri"/>
          <w:b w:val="false"/>
          <w:b w:val="false"/>
          <w:bCs w:val="false"/>
          <w:sz w:val="24"/>
          <w:szCs w:val="24"/>
        </w:rPr>
      </w:pPr>
      <w:r>
        <w:rPr>
          <w:rFonts w:ascii="Calibri" w:hAnsi="Calibri"/>
          <w:b w:val="false"/>
          <w:bCs w:val="false"/>
          <w:strike w:val="false"/>
          <w:dstrike w:val="false"/>
          <w:sz w:val="24"/>
          <w:szCs w:val="24"/>
          <w:u w:val="none"/>
        </w:rPr>
        <w:t xml:space="preserve">Fornitura dei beni e dei servizi correlati al percorso socio-educativo per  tre ambiti </w:t>
      </w:r>
      <w:r>
        <w:rPr>
          <w:rFonts w:eastAsia="Times New Roman" w:cs="Times New Roman" w:ascii="Calibri" w:hAnsi="Calibri"/>
          <w:b w:val="false"/>
          <w:bCs w:val="false"/>
          <w:strike w:val="false"/>
          <w:dstrike w:val="false"/>
          <w:sz w:val="24"/>
          <w:szCs w:val="24"/>
          <w:u w:val="none"/>
          <w:lang w:eastAsia="it-IT"/>
        </w:rPr>
        <w:t>di intervento</w:t>
      </w:r>
      <w:r>
        <w:rPr>
          <w:rFonts w:ascii="Calibri" w:hAnsi="Calibri"/>
          <w:b w:val="false"/>
          <w:bCs w:val="false"/>
          <w:strike w:val="false"/>
          <w:dstrike w:val="false"/>
          <w:sz w:val="24"/>
          <w:szCs w:val="24"/>
          <w:u w:val="none"/>
        </w:rPr>
        <w:t xml:space="preserve">, sulle base del Patto Educativo individualizzato; </w:t>
      </w:r>
    </w:p>
    <w:p>
      <w:pPr>
        <w:pStyle w:val="Normal"/>
        <w:numPr>
          <w:ilvl w:val="0"/>
          <w:numId w:val="2"/>
        </w:numPr>
        <w:rPr>
          <w:rFonts w:ascii="Calibri" w:hAnsi="Calibri"/>
          <w:b w:val="false"/>
          <w:b w:val="false"/>
          <w:bCs w:val="false"/>
          <w:sz w:val="24"/>
          <w:szCs w:val="24"/>
        </w:rPr>
      </w:pPr>
      <w:r>
        <w:rPr>
          <w:rFonts w:eastAsia="Times New Roman" w:cs="Times New Roman" w:ascii="Calibri" w:hAnsi="Calibri"/>
          <w:b w:val="false"/>
          <w:bCs w:val="false"/>
          <w:strike w:val="false"/>
          <w:dstrike w:val="false"/>
          <w:sz w:val="24"/>
          <w:szCs w:val="24"/>
          <w:u w:val="none"/>
          <w:lang w:eastAsia="it-IT"/>
        </w:rPr>
        <w:t>P</w:t>
      </w:r>
      <w:r>
        <w:rPr>
          <w:rFonts w:ascii="Calibri" w:hAnsi="Calibri"/>
          <w:b w:val="false"/>
          <w:bCs w:val="false"/>
          <w:strike w:val="false"/>
          <w:dstrike w:val="false"/>
          <w:sz w:val="24"/>
          <w:szCs w:val="24"/>
          <w:u w:val="none"/>
        </w:rPr>
        <w:t xml:space="preserve">ieno rispetto delle linee operative e metodologiche che verranno messe a disposizione da parte della </w:t>
      </w:r>
      <w:r>
        <w:rPr>
          <w:rFonts w:ascii="Calibri" w:hAnsi="Calibri"/>
          <w:b w:val="false"/>
          <w:bCs w:val="false"/>
          <w:sz w:val="24"/>
          <w:szCs w:val="24"/>
        </w:rPr>
        <w:t xml:space="preserve">competente struttura Ministeriale; </w:t>
      </w:r>
    </w:p>
    <w:p>
      <w:pPr>
        <w:pStyle w:val="Normal"/>
        <w:numPr>
          <w:ilvl w:val="0"/>
          <w:numId w:val="2"/>
        </w:numPr>
        <w:rPr>
          <w:rFonts w:ascii="Calibri" w:hAnsi="Calibri"/>
          <w:b w:val="false"/>
          <w:b w:val="false"/>
          <w:bCs w:val="false"/>
          <w:sz w:val="24"/>
          <w:szCs w:val="24"/>
        </w:rPr>
      </w:pPr>
      <w:r>
        <w:rPr>
          <w:rFonts w:eastAsia="Times New Roman" w:cs="Times New Roman" w:ascii="Calibri" w:hAnsi="Calibri"/>
          <w:b w:val="false"/>
          <w:bCs w:val="false"/>
          <w:strike w:val="false"/>
          <w:dstrike w:val="false"/>
          <w:sz w:val="24"/>
          <w:szCs w:val="24"/>
          <w:u w:val="none"/>
          <w:lang w:eastAsia="it-IT"/>
        </w:rPr>
        <w:t>A</w:t>
      </w:r>
      <w:r>
        <w:rPr>
          <w:rFonts w:ascii="Calibri" w:hAnsi="Calibri"/>
          <w:b w:val="false"/>
          <w:bCs w:val="false"/>
          <w:strike w:val="false"/>
          <w:dstrike w:val="false"/>
          <w:sz w:val="24"/>
          <w:szCs w:val="24"/>
          <w:u w:val="none"/>
        </w:rPr>
        <w:t xml:space="preserve">ccompagnamento alla co-costruzione di un </w:t>
      </w:r>
      <w:r>
        <w:rPr>
          <w:rFonts w:ascii="Calibri" w:hAnsi="Calibri"/>
          <w:b w:val="false"/>
          <w:bCs w:val="false"/>
          <w:i/>
          <w:strike w:val="false"/>
          <w:dstrike w:val="false"/>
          <w:sz w:val="24"/>
          <w:szCs w:val="24"/>
          <w:u w:val="none"/>
        </w:rPr>
        <w:t xml:space="preserve">framework </w:t>
      </w:r>
      <w:r>
        <w:rPr>
          <w:rFonts w:ascii="Calibri" w:hAnsi="Calibri"/>
          <w:b w:val="false"/>
          <w:bCs w:val="false"/>
          <w:i w:val="false"/>
          <w:strike w:val="false"/>
          <w:dstrike w:val="false"/>
          <w:sz w:val="24"/>
          <w:szCs w:val="24"/>
          <w:u w:val="none"/>
        </w:rPr>
        <w:t xml:space="preserve">di </w:t>
      </w:r>
      <w:r>
        <w:rPr>
          <w:rFonts w:ascii="Calibri" w:hAnsi="Calibri"/>
          <w:b w:val="false"/>
          <w:bCs w:val="false"/>
          <w:i/>
          <w:strike w:val="false"/>
          <w:dstrike w:val="false"/>
          <w:sz w:val="24"/>
          <w:szCs w:val="24"/>
          <w:u w:val="none"/>
        </w:rPr>
        <w:t xml:space="preserve">Child Safeguarding Policy </w:t>
      </w:r>
      <w:r>
        <w:rPr>
          <w:rFonts w:ascii="Calibri" w:hAnsi="Calibri"/>
          <w:b w:val="false"/>
          <w:bCs w:val="false"/>
          <w:i w:val="false"/>
          <w:strike w:val="false"/>
          <w:dstrike w:val="false"/>
          <w:sz w:val="24"/>
          <w:szCs w:val="24"/>
          <w:u w:val="none"/>
        </w:rPr>
        <w:t xml:space="preserve">(CSP) per contribuire a creare ambienti sicuri e stimolanti per bambine, bambini e adolescenti, incidendo positivamente sulla loro crescita con un impatto anche sullo sviluppo del territorio; </w:t>
      </w:r>
    </w:p>
    <w:p>
      <w:pPr>
        <w:pStyle w:val="Normal"/>
        <w:numPr>
          <w:ilvl w:val="0"/>
          <w:numId w:val="2"/>
        </w:numPr>
        <w:rPr>
          <w:rFonts w:ascii="Calibri" w:hAnsi="Calibri"/>
          <w:b w:val="false"/>
          <w:b w:val="false"/>
          <w:bCs w:val="false"/>
          <w:sz w:val="24"/>
          <w:szCs w:val="24"/>
        </w:rPr>
      </w:pPr>
      <w:r>
        <w:rPr>
          <w:rFonts w:ascii="Calibri" w:hAnsi="Calibri"/>
          <w:b w:val="false"/>
          <w:bCs w:val="false"/>
          <w:i w:val="false"/>
          <w:strike w:val="false"/>
          <w:dstrike w:val="false"/>
          <w:sz w:val="24"/>
          <w:szCs w:val="24"/>
          <w:u w:val="none"/>
        </w:rPr>
        <w:t>Facilita</w:t>
      </w:r>
      <w:r>
        <w:rPr>
          <w:rFonts w:eastAsia="Times New Roman" w:cs="Times New Roman" w:ascii="Calibri" w:hAnsi="Calibri"/>
          <w:b w:val="false"/>
          <w:bCs w:val="false"/>
          <w:i w:val="false"/>
          <w:strike w:val="false"/>
          <w:dstrike w:val="false"/>
          <w:sz w:val="24"/>
          <w:szCs w:val="24"/>
          <w:u w:val="none"/>
          <w:lang w:eastAsia="it-IT"/>
        </w:rPr>
        <w:t>zione</w:t>
      </w:r>
      <w:r>
        <w:rPr>
          <w:rFonts w:ascii="Calibri" w:hAnsi="Calibri"/>
          <w:b w:val="false"/>
          <w:bCs w:val="false"/>
          <w:i w:val="false"/>
          <w:strike w:val="false"/>
          <w:dstrike w:val="false"/>
          <w:sz w:val="24"/>
          <w:szCs w:val="24"/>
          <w:u w:val="none"/>
        </w:rPr>
        <w:t xml:space="preserve"> della partecipazione degli attori coinvolti a diverso livello nella sperimentazione a momenti di condivisione e scambio di esperienze, sia in presenza che tramite la piattaforma online che verrà messa a disposizione dall’intervento. </w:t>
      </w:r>
    </w:p>
    <w:p>
      <w:pPr>
        <w:pStyle w:val="Normal"/>
        <w:numPr>
          <w:ilvl w:val="0"/>
          <w:numId w:val="2"/>
        </w:numPr>
        <w:rPr>
          <w:rFonts w:ascii="Calibri" w:hAnsi="Calibri"/>
          <w:b w:val="false"/>
          <w:b w:val="false"/>
          <w:bCs w:val="false"/>
          <w:sz w:val="24"/>
          <w:szCs w:val="24"/>
        </w:rPr>
      </w:pPr>
      <w:r>
        <w:rPr>
          <w:rFonts w:ascii="Calibri" w:hAnsi="Calibri"/>
          <w:b w:val="false"/>
          <w:bCs w:val="false"/>
          <w:i w:val="false"/>
          <w:strike w:val="false"/>
          <w:dstrike w:val="false"/>
          <w:sz w:val="24"/>
          <w:szCs w:val="24"/>
          <w:u w:val="none"/>
        </w:rPr>
        <w:t>Coinvolg</w:t>
      </w:r>
      <w:r>
        <w:rPr>
          <w:rFonts w:eastAsia="Times New Roman" w:cs="Times New Roman" w:ascii="Calibri" w:hAnsi="Calibri"/>
          <w:b w:val="false"/>
          <w:bCs w:val="false"/>
          <w:i w:val="false"/>
          <w:strike w:val="false"/>
          <w:dstrike w:val="false"/>
          <w:sz w:val="24"/>
          <w:szCs w:val="24"/>
          <w:u w:val="none"/>
          <w:lang w:eastAsia="it-IT"/>
        </w:rPr>
        <w:t>imento</w:t>
      </w:r>
      <w:r>
        <w:rPr>
          <w:rFonts w:ascii="Calibri" w:hAnsi="Calibri"/>
          <w:b w:val="false"/>
          <w:bCs w:val="false"/>
          <w:i w:val="false"/>
          <w:strike w:val="false"/>
          <w:dstrike w:val="false"/>
          <w:sz w:val="24"/>
          <w:szCs w:val="24"/>
          <w:u w:val="none"/>
        </w:rPr>
        <w:t xml:space="preserve"> attiv</w:t>
      </w:r>
      <w:r>
        <w:rPr>
          <w:rFonts w:eastAsia="Times New Roman" w:cs="Times New Roman" w:ascii="Calibri" w:hAnsi="Calibri"/>
          <w:b w:val="false"/>
          <w:bCs w:val="false"/>
          <w:i w:val="false"/>
          <w:strike w:val="false"/>
          <w:dstrike w:val="false"/>
          <w:sz w:val="24"/>
          <w:szCs w:val="24"/>
          <w:u w:val="none"/>
          <w:lang w:eastAsia="it-IT"/>
        </w:rPr>
        <w:t>o</w:t>
      </w:r>
      <w:r>
        <w:rPr>
          <w:rFonts w:ascii="Calibri" w:hAnsi="Calibri"/>
          <w:b w:val="false"/>
          <w:bCs w:val="false"/>
          <w:i w:val="false"/>
          <w:strike w:val="false"/>
          <w:dstrike w:val="false"/>
          <w:sz w:val="24"/>
          <w:szCs w:val="24"/>
          <w:u w:val="none"/>
        </w:rPr>
        <w:t xml:space="preserve"> della rete territoriale nelle iniziative. </w:t>
      </w:r>
    </w:p>
    <w:p>
      <w:pPr>
        <w:pStyle w:val="Normal"/>
        <w:numPr>
          <w:ilvl w:val="0"/>
          <w:numId w:val="2"/>
        </w:numPr>
        <w:spacing w:lineRule="exact" w:line="232"/>
        <w:rPr/>
      </w:pPr>
      <w:r>
        <w:rPr>
          <w:rFonts w:ascii="Calibri" w:hAnsi="Calibri"/>
          <w:b w:val="false"/>
          <w:bCs w:val="false"/>
          <w:i w:val="false"/>
          <w:strike w:val="false"/>
          <w:dstrike w:val="false"/>
          <w:sz w:val="24"/>
          <w:szCs w:val="24"/>
          <w:u w:val="none"/>
        </w:rPr>
        <w:t>Partecipa</w:t>
      </w:r>
      <w:r>
        <w:rPr>
          <w:rFonts w:eastAsia="Times New Roman" w:cs="Times New Roman" w:ascii="Calibri" w:hAnsi="Calibri"/>
          <w:b w:val="false"/>
          <w:bCs w:val="false"/>
          <w:i w:val="false"/>
          <w:strike w:val="false"/>
          <w:dstrike w:val="false"/>
          <w:sz w:val="24"/>
          <w:szCs w:val="24"/>
          <w:u w:val="none"/>
          <w:lang w:eastAsia="it-IT"/>
        </w:rPr>
        <w:t>zione</w:t>
      </w:r>
      <w:r>
        <w:rPr>
          <w:rFonts w:ascii="Calibri" w:hAnsi="Calibri"/>
          <w:b w:val="false"/>
          <w:bCs w:val="false"/>
          <w:i w:val="false"/>
          <w:strike w:val="false"/>
          <w:dstrike w:val="false"/>
          <w:sz w:val="24"/>
          <w:szCs w:val="24"/>
          <w:u w:val="none"/>
        </w:rPr>
        <w:t xml:space="preserve"> a tutte le iniziative formative, di accompagnamento metodologico, di confronto, monitoraggio e valutazione che verranno garantite dal Ministero del Lavoro e delle Politiche Sociali e dall’ETS </w:t>
      </w:r>
      <w:r>
        <w:rPr>
          <w:rFonts w:ascii="Calibri" w:hAnsi="Calibri"/>
          <w:b w:val="false"/>
          <w:bCs w:val="false"/>
          <w:i/>
          <w:strike w:val="false"/>
          <w:dstrike w:val="false"/>
          <w:sz w:val="24"/>
          <w:szCs w:val="24"/>
          <w:u w:val="none"/>
        </w:rPr>
        <w:t>Save the Children</w:t>
      </w:r>
      <w:r>
        <w:rPr>
          <w:rFonts w:ascii="Calibri" w:hAnsi="Calibri"/>
          <w:b w:val="false"/>
          <w:bCs w:val="false"/>
          <w:i w:val="false"/>
          <w:strike w:val="false"/>
          <w:dstrike w:val="false"/>
          <w:sz w:val="24"/>
          <w:szCs w:val="24"/>
          <w:u w:val="none"/>
        </w:rPr>
        <w:t xml:space="preserve">. </w:t>
      </w:r>
    </w:p>
    <w:p>
      <w:pPr>
        <w:pStyle w:val="Normal"/>
        <w:numPr>
          <w:ilvl w:val="0"/>
          <w:numId w:val="0"/>
        </w:numPr>
        <w:spacing w:lineRule="exact" w:line="232"/>
        <w:ind w:left="862" w:right="52" w:hanging="0"/>
        <w:rPr>
          <w:i w:val="false"/>
          <w:i w:val="false"/>
          <w:strike w:val="false"/>
          <w:dstrike w:val="false"/>
          <w:u w:val="none"/>
        </w:rPr>
      </w:pPr>
      <w:r>
        <w:rPr>
          <w:i w:val="false"/>
          <w:strike w:val="false"/>
          <w:dstrike w:val="false"/>
          <w:u w:val="none"/>
        </w:rPr>
      </w:r>
    </w:p>
    <w:p>
      <w:pPr>
        <w:pStyle w:val="Corpodeltesto"/>
        <w:spacing w:lineRule="exact" w:line="232"/>
        <w:ind w:left="142" w:right="52" w:hanging="0"/>
        <w:rPr>
          <w:rFonts w:eastAsia="Times New Roman" w:cs="Calibri" w:cstheme="minorHAnsi"/>
        </w:rPr>
      </w:pPr>
      <w:r>
        <w:rPr>
          <w:rFonts w:eastAsia="Times New Roman" w:cs="Calibri" w:cstheme="minorHAnsi"/>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 xml:space="preserve">ART. 3 – AMMONTARE DELL’APPALTO </w:t>
      </w:r>
    </w:p>
    <w:p>
      <w:pPr>
        <w:pStyle w:val="Normal"/>
        <w:widowControl/>
        <w:jc w:val="both"/>
        <w:rPr/>
      </w:pPr>
      <w:r>
        <w:rPr>
          <w:rFonts w:eastAsia="Times New Roman" w:cs="Calibri" w:ascii="Calibri" w:hAnsi="Calibri" w:asciiTheme="minorHAnsi" w:cstheme="minorHAnsi" w:hAnsiTheme="minorHAnsi"/>
          <w:lang w:eastAsia="it-IT"/>
        </w:rPr>
        <w:t xml:space="preserve">Il valore stimato del presente </w:t>
      </w:r>
      <w:r>
        <w:rPr>
          <w:rFonts w:eastAsia="Times New Roman" w:cs="Calibri" w:ascii="Calibri" w:hAnsi="Calibri" w:asciiTheme="minorHAnsi" w:cstheme="minorHAnsi" w:hAnsiTheme="minorHAnsi"/>
          <w:color w:val="auto"/>
          <w:kern w:val="0"/>
          <w:sz w:val="22"/>
          <w:szCs w:val="22"/>
          <w:lang w:val="it-IT" w:eastAsia="it-IT" w:bidi="ar-SA"/>
        </w:rPr>
        <w:t>contratto</w:t>
      </w:r>
      <w:r>
        <w:rPr>
          <w:rFonts w:eastAsia="Times New Roman" w:cs="Calibri" w:ascii="Calibri" w:hAnsi="Calibri" w:asciiTheme="minorHAnsi" w:cstheme="minorHAnsi" w:hAnsiTheme="minorHAnsi"/>
          <w:lang w:eastAsia="it-IT"/>
        </w:rPr>
        <w:t xml:space="preserve"> per il quadriennio, (cioè il valore massimo pagabile, al netto dell’IVA</w:t>
      </w:r>
      <w:r>
        <w:rPr>
          <w:rFonts w:eastAsia="Times New Roman" w:cs="Calibri" w:ascii="Calibri" w:hAnsi="Calibri" w:asciiTheme="minorHAnsi" w:cstheme="minorHAnsi" w:hAnsiTheme="minorHAnsi"/>
          <w:color w:val="auto"/>
          <w:kern w:val="0"/>
          <w:sz w:val="22"/>
          <w:szCs w:val="22"/>
          <w:lang w:val="it-IT" w:eastAsia="it-IT" w:bidi="ar-SA"/>
        </w:rPr>
        <w:t xml:space="preserve">) </w:t>
      </w:r>
      <w:r>
        <w:rPr>
          <w:rFonts w:eastAsia="Times New Roman" w:cs="Calibri" w:ascii="Calibri" w:hAnsi="Calibri" w:asciiTheme="minorHAnsi" w:cstheme="minorHAnsi" w:hAnsiTheme="minorHAnsi"/>
          <w:lang w:eastAsia="it-IT"/>
        </w:rPr>
        <w:t xml:space="preserve">è pari ad €  </w:t>
      </w:r>
      <w:r>
        <w:rPr>
          <w:rFonts w:eastAsia="Times New Roman" w:cs="Times New Roman" w:ascii="Calibri" w:hAnsi="Calibri" w:asciiTheme="minorHAnsi" w:hAnsiTheme="minorHAnsi"/>
          <w:b/>
          <w:bCs/>
          <w:color w:val="000000"/>
          <w:spacing w:val="-10"/>
          <w:sz w:val="18"/>
          <w:szCs w:val="18"/>
          <w:lang w:val="en-US" w:eastAsia="it-IT" w:bidi="ar-SA"/>
        </w:rPr>
        <w:t>1.036.662,62</w:t>
      </w:r>
      <w:r>
        <w:rPr>
          <w:rFonts w:eastAsia="Times New Roman" w:cs="Times New Roman" w:ascii="Calibri" w:hAnsi="Calibri" w:asciiTheme="minorHAnsi" w:hAnsiTheme="minorHAnsi"/>
          <w:b/>
          <w:bCs/>
          <w:color w:val="000000"/>
          <w:spacing w:val="-10"/>
          <w:sz w:val="18"/>
          <w:szCs w:val="18"/>
          <w:lang w:val="en-US" w:eastAsia="it-IT"/>
        </w:rPr>
        <w:t xml:space="preserve"> €</w:t>
      </w:r>
      <w:r>
        <w:rPr>
          <w:rFonts w:eastAsia="Times New Roman" w:cs="Calibri" w:ascii="Calibri" w:hAnsi="Calibri" w:asciiTheme="minorHAnsi" w:cstheme="minorHAnsi" w:hAnsiTheme="minorHAnsi"/>
          <w:lang w:eastAsia="it-IT"/>
        </w:rPr>
        <w:t xml:space="preserve"> esclusa IVA, </w:t>
      </w:r>
      <w:r>
        <w:rPr>
          <w:rFonts w:eastAsia="Times New Roman" w:cs="Calibri" w:ascii="Calibri" w:hAnsi="Calibri" w:asciiTheme="minorHAnsi" w:cstheme="minorHAnsi" w:hAnsiTheme="minorHAnsi"/>
          <w:color w:val="C9211E"/>
          <w:lang w:eastAsia="it-IT"/>
        </w:rPr>
        <w:t xml:space="preserve">di cui € </w:t>
      </w:r>
      <w:r>
        <w:rPr>
          <w:rFonts w:eastAsia="Times New Roman" w:cs="Times New Roman" w:ascii="Calibri" w:hAnsi="Calibri" w:asciiTheme="minorHAnsi" w:hAnsiTheme="minorHAnsi"/>
          <w:b/>
          <w:bCs/>
          <w:color w:val="C9211E"/>
          <w:spacing w:val="-2"/>
          <w:sz w:val="18"/>
          <w:szCs w:val="18"/>
          <w:lang w:val="en-US" w:eastAsia="it-IT" w:bidi="ar-SA"/>
        </w:rPr>
        <w:t>______________</w:t>
      </w:r>
      <w:r>
        <w:rPr>
          <w:rFonts w:eastAsia="Times New Roman" w:cs="Calibri" w:ascii="Calibri" w:hAnsi="Calibri" w:asciiTheme="minorHAnsi" w:cstheme="minorHAnsi" w:hAnsiTheme="minorHAnsi"/>
          <w:color w:val="C9211E"/>
          <w:lang w:eastAsia="it-IT"/>
        </w:rPr>
        <w:t xml:space="preserve"> per costi della manodopera (art. 41, comma 14, del D.Lgs. 36/2023 e ss.mm.ii.) e i costi della sicurezza derivanti da rischi da interferenze, ai sensi dell’articolo 26 del D.Lgs. n. 81/08 non soggetti al ribasso, sono stati quantificati in Euro 0,00.</w:t>
      </w:r>
    </w:p>
    <w:p>
      <w:pPr>
        <w:pStyle w:val="Normal"/>
        <w:widowControl/>
        <w:jc w:val="both"/>
        <w:rPr/>
      </w:pPr>
      <w:r>
        <w:rPr>
          <w:rFonts w:eastAsia="Times New Roman" w:cs="Calibri" w:ascii="Calibri" w:hAnsi="Calibri" w:asciiTheme="minorHAnsi" w:cstheme="minorHAnsi" w:hAnsiTheme="minorHAnsi"/>
          <w:lang w:eastAsia="it-IT"/>
        </w:rPr>
        <w:t xml:space="preserve">Il presente </w:t>
      </w:r>
      <w:r>
        <w:rPr>
          <w:rFonts w:eastAsia="Times New Roman" w:cs="Calibri" w:ascii="Calibri" w:hAnsi="Calibri" w:asciiTheme="minorHAnsi" w:cstheme="minorHAnsi" w:hAnsiTheme="minorHAnsi"/>
          <w:color w:val="auto"/>
          <w:kern w:val="0"/>
          <w:sz w:val="22"/>
          <w:szCs w:val="22"/>
          <w:lang w:val="it-IT" w:eastAsia="it-IT" w:bidi="ar-SA"/>
        </w:rPr>
        <w:t>contratto</w:t>
      </w:r>
      <w:r>
        <w:rPr>
          <w:rFonts w:eastAsia="Times New Roman" w:cs="Calibri" w:ascii="Calibri" w:hAnsi="Calibri" w:asciiTheme="minorHAnsi" w:cstheme="minorHAnsi" w:hAnsiTheme="minorHAnsi"/>
          <w:lang w:eastAsia="it-IT"/>
        </w:rPr>
        <w:t xml:space="preserve"> non prevede un minimo garantito.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4 –DURATA</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 durata del</w:t>
      </w:r>
      <w:r>
        <w:rPr>
          <w:rFonts w:eastAsia="Times New Roman" w:cs="Calibri" w:ascii="Calibri" w:hAnsi="Calibri" w:asciiTheme="minorHAnsi" w:cstheme="minorHAnsi" w:hAnsiTheme="minorHAnsi"/>
          <w:lang w:val="it-IT" w:eastAsia="it-IT"/>
        </w:rPr>
        <w:t xml:space="preserve"> Contratto</w:t>
      </w:r>
      <w:r>
        <w:rPr>
          <w:rFonts w:eastAsia="Times New Roman" w:cs="Calibri" w:ascii="Calibri" w:hAnsi="Calibri" w:asciiTheme="minorHAnsi" w:cstheme="minorHAnsi" w:hAnsiTheme="minorHAnsi"/>
          <w:lang w:eastAsia="it-IT"/>
        </w:rPr>
        <w:t xml:space="preserve"> per il servizio di </w:t>
      </w:r>
      <w:r>
        <w:rPr>
          <w:rStyle w:val="Carpredefinitoparagrafo"/>
          <w:rFonts w:eastAsia="Times New Roman" w:cs="Times New Roman" w:ascii="Calibri" w:hAnsi="Calibri" w:asciiTheme="minorHAnsi" w:hAnsiTheme="minorHAnsi"/>
          <w:b w:val="false"/>
          <w:bCs w:val="false"/>
          <w:color w:val="000000"/>
          <w:spacing w:val="-2"/>
          <w:kern w:val="0"/>
          <w:sz w:val="22"/>
          <w:szCs w:val="22"/>
          <w:lang w:eastAsia="en-US"/>
        </w:rPr>
        <w:t xml:space="preserve">integrato di attivazione, gestione ed erogazione di dispositivi socio-educativi territoriali finalizzati al contrasto della povertà educativa minorile, alla prevenzione della dispersione scolastica, alla promozione dell’inclusione sociale e alla realizzazione di percorsi educativi personalizzati in favore di minori e nuclei familiari vulnerabili,  </w:t>
      </w:r>
      <w:r>
        <w:rPr>
          <w:rFonts w:eastAsia="Times New Roman" w:cs="Calibri" w:ascii="Calibri" w:hAnsi="Calibri" w:asciiTheme="minorHAnsi" w:cstheme="minorHAnsi" w:hAnsiTheme="minorHAnsi"/>
          <w:lang w:eastAsia="it-IT"/>
        </w:rPr>
        <w:t xml:space="preserve">è di n. </w:t>
      </w:r>
      <w:r>
        <w:rPr>
          <w:rFonts w:eastAsia="Times New Roman" w:cs="Calibri" w:ascii="Calibri" w:hAnsi="Calibri" w:asciiTheme="minorHAnsi" w:cstheme="minorHAnsi" w:hAnsiTheme="minorHAnsi"/>
          <w:lang w:val="it-IT" w:eastAsia="it-IT"/>
        </w:rPr>
        <w:t>4</w:t>
      </w:r>
      <w:r>
        <w:rPr>
          <w:rFonts w:eastAsia="Times New Roman" w:cs="Calibri" w:ascii="Calibri" w:hAnsi="Calibri" w:asciiTheme="minorHAnsi" w:cstheme="minorHAnsi" w:hAnsiTheme="minorHAnsi"/>
          <w:lang w:eastAsia="it-IT"/>
        </w:rPr>
        <w:t xml:space="preserve"> anni a decorrere dalla stipula dello stesso.</w:t>
      </w:r>
      <w:bookmarkStart w:id="4" w:name="_Hlk213614545"/>
      <w:bookmarkEnd w:id="4"/>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Le attività saranno avviate a seguito della sottoscrizione del  contratto  per la durata prevista dallo stesso previo consegna formale di avvio delle attività. Eventuali ritardi nell'avvio delle attività conseguenti alle occorrenti procedure amministrative o a qualsivoglia procedura interna o esterna all’Ambito, non potranno, a nessun titolo, essere fatti valere dall'affidatario.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 Stazione Appaltante si riserva di autorizzare l'esecuzione anticipata delle prestazioni ai sensi dell’art. 50 comma 6 del D- Lgs 36/2023.</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 accordo  giunge a scadenza senza necessità di preavviso e senza possibilità di proroga tacita.</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5 – GARANZIE</w:t>
      </w:r>
    </w:p>
    <w:p>
      <w:pPr>
        <w:pStyle w:val="Normal"/>
        <w:widowControl/>
        <w:jc w:val="both"/>
        <w:rPr/>
      </w:pPr>
      <w:r>
        <w:rPr>
          <w:rFonts w:eastAsia="Times New Roman" w:cs="Calibri" w:ascii="Calibri" w:hAnsi="Calibri" w:asciiTheme="minorHAnsi" w:cstheme="minorHAnsi" w:hAnsiTheme="minorHAnsi"/>
          <w:lang w:eastAsia="it-IT"/>
        </w:rPr>
        <w:t xml:space="preserve">Ai sensi dell’art. 117, comma 1, D. Lgs. n. 36/2023, l’affidatario è tenuto a costituire una garanzia fideiussoria pari al </w:t>
      </w:r>
      <w:r>
        <w:rPr>
          <w:rFonts w:eastAsia="Times New Roman" w:cs="Calibri" w:ascii="Calibri" w:hAnsi="Calibri" w:asciiTheme="minorHAnsi" w:cstheme="minorHAnsi" w:hAnsiTheme="minorHAnsi"/>
          <w:color w:val="auto"/>
          <w:kern w:val="0"/>
          <w:sz w:val="22"/>
          <w:szCs w:val="22"/>
          <w:lang w:val="it-IT" w:eastAsia="it-IT" w:bidi="ar-SA"/>
        </w:rPr>
        <w:t>2</w:t>
      </w:r>
      <w:r>
        <w:rPr>
          <w:rFonts w:eastAsia="Times New Roman" w:cs="Calibri" w:ascii="Calibri" w:hAnsi="Calibri" w:asciiTheme="minorHAnsi" w:cstheme="minorHAnsi" w:hAnsiTheme="minorHAnsi"/>
          <w:lang w:eastAsia="it-IT"/>
        </w:rPr>
        <w:t>% all’importo contrattuale, a garanzia dell’impegno all’esecuzione del contratto per tutta la sua durata, con le modalità previste dall’articolo 106 del D. Lgs. 36/2023.</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Alla cauzione definitiva si applicano le riduzioni previste dall’art. 106, comma 8 del D. Lgs. 36/2023.</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In caso di risoluzione del contratto per inadempimento la cauzione sarà incamerata da questo Comune, fino alla copertura dei danni e delle indennità dovute e fatto salvo il risarcimento del danno ulteriore.</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 garanzia dell’esatto e puntuale adempimento di tutte le obbligazioni derivanti dal presente contratto l'aggiudicatario ha costituito ai sensi dell’art. 117 del D. Lgs. n.36/2023, Polizza fideiussoria definitiva, contratta con la compagnia ________________ P.IVA _______ n. _________in data __________ per l’importo garantito di complessive € ___________ ( ______________).</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Detta garanzia sarà svincolata dal comune nei modi e termini di legge. In merito alla stessa la società appaltatrice, sempre come rappresentata concede ampia facoltà di utilizzarla in tutto o in parte nel caso di inadempienza ai patti contrattuali, così come riconosce il diritto ai maggiori danni ove questi dovessero essere superiori al suo importo.</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6 – PAGAMENTI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Il corrispettivo da erogare all’operatore economico aggiudicatario è sulla base del prezzo offerto in sede di gara. Precisamente l’emissione della fattura da parte dell’operatore economico è subordinata all’invio della rendicontazione del servizio reso in conformità a quanto stabilito dagli atti di gara che qui si intendono integralmente richiamati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Ai sensi della L. n.136/2010 e ss.mm.ii., l’affidataria società ha indicato il seguente conto corrente bancario dedicato, da utilizzare, sia in entrata che in uscita, per tutta la gestione contrattuale, intestato alla </w:t>
      </w:r>
      <w:r>
        <w:rPr>
          <w:rFonts w:eastAsia="Times New Roman" w:cs="Calibri" w:ascii="Calibri" w:hAnsi="Calibri" w:asciiTheme="minorHAnsi" w:cstheme="minorHAnsi" w:hAnsiTheme="minorHAnsi"/>
          <w:bCs/>
          <w:lang w:eastAsia="it-IT"/>
        </w:rPr>
        <w:t>______________________________</w:t>
      </w:r>
      <w:r>
        <w:rPr>
          <w:rFonts w:eastAsia="Times New Roman" w:cs="Calibri" w:ascii="Calibri" w:hAnsi="Calibri" w:asciiTheme="minorHAnsi" w:cstheme="minorHAnsi" w:hAnsiTheme="minorHAnsi"/>
          <w:lang w:eastAsia="it-IT"/>
        </w:rPr>
        <w:t xml:space="preserve">.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Ai sensi della L. n.136/2010 e ss.mm.ii., la ditta ha indicato il seguente conto corrente bancario dedicato, da utilizzare, sia in entrata che in uscita, per tutta la gestione contrattuale: IBAN : </w:t>
      </w:r>
      <w:r>
        <w:rPr>
          <w:rFonts w:eastAsia="Times New Roman" w:cs="Calibri" w:ascii="Calibri" w:hAnsi="Calibri" w:asciiTheme="minorHAnsi" w:cstheme="minorHAnsi" w:hAnsiTheme="minorHAnsi"/>
          <w:b/>
          <w:bCs/>
          <w:lang w:eastAsia="it-IT"/>
        </w:rPr>
        <w:t xml:space="preserve">___________________________; Soggetto delegato ad operare sul conto corrente dedicato con gestione e disponibilità esclusiva: ________________________________.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 pena di nullità del contratto, tutti i movimenti finanziari relativi all’appalto oggetto del presente contratto, devono essere registrati sui conti correnti dedicati sopracitati e devono essere effettuati esclusivamente tramite lo strumento del bonifico bancario o postale, ovvero con altri strumenti di pagamento idonei a consentire la piena tracciabilità delle operazioni (sono esentate le fattispecie contemplate all'art. 3 comma 3, della L. 136/2010 e ss.mm. e ii);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Il mancato utilizzo del bonifico bancario o postale, ovvero degli strumenti idonei a consentire la piena tracciabilità delle operazioni, costituisce causa di risoluzione del contratto;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Ai fini della tracciabilità dei flussi finanziari, gli strumenti di pagamento devono riportare, in relazione a ciascuna transazione posta in essere per il presente contratto, il codice identificativo gara (CIG  </w:t>
      </w:r>
      <w:r>
        <w:rPr>
          <w:rFonts w:eastAsia="Times New Roman" w:cs="Calibri" w:ascii="Calibri" w:hAnsi="Calibri" w:asciiTheme="minorHAnsi" w:cstheme="minorHAnsi" w:hAnsiTheme="minorHAnsi"/>
          <w:caps/>
          <w:lang w:eastAsia="it-IT"/>
        </w:rPr>
        <w:t>………...</w:t>
      </w:r>
      <w:r>
        <w:rPr>
          <w:rFonts w:eastAsia="Times New Roman" w:cs="Calibri" w:ascii="Calibri" w:hAnsi="Calibri" w:asciiTheme="minorHAnsi" w:cstheme="minorHAnsi" w:hAnsiTheme="minorHAnsi"/>
          <w:lang w:eastAsia="it-IT"/>
        </w:rPr>
        <w:t>) attribuito dall'Autorità Nazionale Anticorruzione nonché il CUP/ i CUP di riferimento nell’atto richiamati;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È fatto obbligo di provvedere ad ogni modifica relativa alla generalità e al codice fiscale delle persone delegate ad operare sul suddetto c/c dedicato. A pena di nullità assoluta, l'operatore economico assume gli obblighi di tracciabilità dei flussi finanziari di cui alla legge sopra citata;</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L’assunzione degli obblighi di tracciabilità dei flussi finanziari deve essere riportata in tutti i contratti sottoscritti con i subappaltatori ed i subcontraenti della filiera delle imprese a qualsiasi titolo interessate al lavoro di cui al presente contratto e il comune può verificare in ogni momento tale adempimento.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7 - ELEZIONE DEL DOMICILIO</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Cs/>
          <w:lang w:eastAsia="it-IT"/>
        </w:rPr>
        <w:t xml:space="preserve">Agli effetti del presente Contratto, l’Affidataria </w:t>
        <w:tab/>
        <w:tab/>
        <w:t>come costituita e rappresentata, dichiara di avere il proprio Domicilio nella propria Sede, sita in</w:t>
        <w:tab/>
        <w:t>, Cap.</w:t>
        <w:tab/>
        <w:t xml:space="preserve">, </w:t>
        <w:tab/>
        <w:t>(</w:t>
        <w:tab/>
        <w:t>), e- mail-pec:</w:t>
        <w:tab/>
        <w:t>.</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8 -  VERIFICHE E CONTROLLI</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Cs/>
          <w:lang w:eastAsia="it-IT"/>
        </w:rPr>
        <w:t>In conformità a quanto previsto dal Capitolato Generale d’Appalto è previsto un controllo sul regolare svolgimento del Servizio sia in itinere, che al termine, al fine di verificare i risultati conseguiti durante tutte le fasi dei progetti presentati in sede di gara</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 xml:space="preserve">ART. </w:t>
      </w:r>
      <w:r>
        <w:rPr>
          <w:rFonts w:eastAsia="Times New Roman" w:cs="Calibri" w:ascii="Calibri" w:hAnsi="Calibri" w:asciiTheme="minorHAnsi" w:cstheme="minorHAnsi" w:hAnsiTheme="minorHAnsi"/>
          <w:b/>
          <w:bCs/>
          <w:lang w:val="it-IT" w:eastAsia="it-IT"/>
        </w:rPr>
        <w:t>9</w:t>
      </w:r>
      <w:r>
        <w:rPr>
          <w:rFonts w:eastAsia="Times New Roman" w:cs="Calibri" w:ascii="Calibri" w:hAnsi="Calibri" w:asciiTheme="minorHAnsi" w:cstheme="minorHAnsi" w:hAnsiTheme="minorHAnsi"/>
          <w:b/>
          <w:bCs/>
          <w:lang w:eastAsia="it-IT"/>
        </w:rPr>
        <w:t xml:space="preserve"> – RESPONSABILITA’ VERSO TERZI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L’Appaltatore assume la responsabilità di danni a persone e cose, sia per quanto riguarda i dipendenti e i materiali di sua proprietà, sia quelli che essa dovesse arrecare a terzi in conseguenza dell’esecuzione dell’appalto e delle attività connesse, sollevando la Stazione Appaltante da ogni responsabilità al riguardo. Si rimanda al CSA.</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 xml:space="preserve">ART. </w:t>
      </w:r>
      <w:r>
        <w:rPr>
          <w:rFonts w:eastAsia="Times New Roman" w:cs="Calibri" w:ascii="Calibri" w:hAnsi="Calibri" w:asciiTheme="minorHAnsi" w:cstheme="minorHAnsi" w:hAnsiTheme="minorHAnsi"/>
          <w:b/>
          <w:bCs/>
          <w:lang w:val="it-IT" w:eastAsia="it-IT"/>
        </w:rPr>
        <w:t>10</w:t>
      </w:r>
      <w:r>
        <w:rPr>
          <w:rFonts w:eastAsia="Times New Roman" w:cs="Calibri" w:ascii="Calibri" w:hAnsi="Calibri" w:asciiTheme="minorHAnsi" w:cstheme="minorHAnsi" w:hAnsiTheme="minorHAnsi"/>
          <w:b/>
          <w:bCs/>
          <w:lang w:eastAsia="it-IT"/>
        </w:rPr>
        <w:t xml:space="preserve"> – PENALI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L’Appaltatore deve espressamente attenersi a quanto prescritto dal CSA.</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11 – RISOLUZIONE E RECESSO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Si applicano gli art 122,123 e 124 del D.Lgs n. 36/2023</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L’Amministrazione si riserva, altresì, la facoltà di risolvere il contratto, previa diffida ad adempiere, trattenendo la cauzione definitiva quale penale, nei casi previsti dal Capitolato Generale d’Appalto.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L’Affidataria può richiedere la risoluzione del contratto in caso di impossibilità ad eseguire la prestazione per causa allo stesso soggetto non imputabile, secondo le disposizioni del codice civile artt. 1218,1256,1463.</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L’Amministrazione può inoltre recedere dal contratto d’appalto per motivi di pubblico interesse e in qualsiasi momento dell’esecuzione, avvalendosi delle facoltà concesse dal codice civile.</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12 – VARIAZIONI MODIFICHE AL CONTRATTO E REVISIONE PREZZI</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Qualunque Modifica al presente Contratto, dovrà risultare esclusivamente da Atto Scritto.</w:t>
      </w:r>
    </w:p>
    <w:p>
      <w:pPr>
        <w:pStyle w:val="Normal"/>
        <w:widowControl/>
        <w:jc w:val="both"/>
        <w:rPr>
          <w:rFonts w:ascii="Calibri" w:hAnsi="Calibri" w:eastAsia="Times New Roman" w:cs="Calibri" w:asciiTheme="minorHAnsi" w:cstheme="minorHAnsi" w:hAnsiTheme="minorHAnsi"/>
          <w:b/>
          <w:b/>
          <w:lang w:eastAsia="it-IT"/>
        </w:rPr>
      </w:pPr>
      <w:r>
        <w:rPr>
          <w:rFonts w:eastAsia="Times New Roman" w:cs="Calibri" w:cstheme="minorHAnsi" w:ascii="Calibri" w:hAnsi="Calibri"/>
          <w:b/>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Per le modifiche contrattuali si applica l’art. 120 del D.lgs. 36/2023. Ai sensi del comma 9, del già menzionato articolo qualora in corso di esecuzione del contratto si renda necessario un aumento o una diminuzione delle prestazioni fino a concorrenza del quinto dell’importo del contratto, la Stazione Appaltante può imporre all’Appaltatore l’esecuzione alle condizioni originariamente previste, in tal caso l’Appaltatore non può far valere il diritto alla risoluzione del contratto. Per il presente contratto è ammessa la revisione del prezzo d’appalto, ai sensi dell'art. 60 del D.lgs. 36/2023, sulla base di apposita istruttoria. Qualora nel corso di esecuzione del contratto, al verificarsi di particolari condizioni di natura oggettiva, si determini una variazione, in aumento o in diminuzione, del costo del servizio superiore al cinque per cento, dell’importo complessivo, i prezzi sono aggiornati, nella misura dell’ottanta per cento della variazione, in relazione alle prestazioni da eseguire.Ai fini della revisione del prezzo verrà applicato, ai sensi dell’art 60, c 3 lett. b) del Codice dei Contratti, l’indice dei prezzi al consumo La richiesta di revisione del prezzo avviene a seguito di istanza documentata da parte dell’operatore economico incaricato e sarà oggetto di riscontro entro il termine di giorni 30 decorrenti dalla ricezione della richiesta medesima, con apposito provvedimento del Responsabile unico di progetto (RUP), conduce entro sessanta giorni, apposita istruttoria al fine di individuare le variazioni percentuali dei singoli prezzi di materiali/servizi che incidono sul contratto aggiudicato. L’istruttoria può tener conto di quanto indicato all’articolo 60, comma 3, lettera b del Codice degli appalti. Sulle richieste avanzate dall’appaltatore la stazione appaltante, al termine dell’istruttoria, e comunque entro 60 (sessanta) giorni, si pronuncia con provvedimento motivato. In caso di accoglimento delle richieste dell’appaltatore il provvedimento determina l’importo della compensazione al medesimo riconosciuta. Si applicano l’art. 29 del Decreto-legge 27 gennaio 2022, n. 4, gli art. 210 e 212 del D.lgs. n. 36/2023 e per il resto, l’art. 1664 del Codice civile.</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 xml:space="preserve">ART. 13 – PATTO DI INTEGRITA’  </w:t>
      </w:r>
    </w:p>
    <w:p>
      <w:pPr>
        <w:pStyle w:val="Normal"/>
        <w:widowControl/>
        <w:tabs>
          <w:tab w:val="clear" w:pos="720"/>
          <w:tab w:val="left" w:pos="142" w:leader="none"/>
        </w:tabs>
        <w:jc w:val="both"/>
        <w:rPr>
          <w:rFonts w:ascii="Calibri" w:hAnsi="Calibri"/>
        </w:rPr>
      </w:pPr>
      <w:r>
        <w:rPr>
          <w:rFonts w:eastAsia="Times New Roman" w:cs="Calibri" w:ascii="Calibri" w:hAnsi="Calibri" w:asciiTheme="minorHAnsi" w:cstheme="minorHAnsi" w:hAnsiTheme="minorHAnsi"/>
          <w:lang w:eastAsia="it-IT"/>
        </w:rPr>
        <w:t xml:space="preserve">Si rinvia agli atti di gara specifica allegati al presente atto. </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14 – CESSIONE DEL CONTRATTO - SUBAPPALTO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È vietato cedere il contratto di cui al presente appalto, fatte salve le vicende soggettive dell’esecutore del contratto disciplinate all’art. 120, comma 1, lett. d), punto 2) del D. Lgs. 36/2023. I servizi oggetto dell’appalto hanno caratteristiche per le quali è indispensabile garantire unitarietà gestionale, sia perché rivolte ad utenze problematiche e fragili, sia per assicurare la continuità dell’interfaccia con l’Ufficio di Piano su tutta l’attività gestionale senza frapposizioni e frammentazioni. E’ consentito il subappalto. La cessione del credito derivante dal presente appalto da parte dell’impresa appaltatrice o la stipulazione di un contratto di factoring devono essere preventivamente autorizzati dall’Amministrazione, ai sensi di quanto disposto dell’art. 120, comma 12, del D. Lgs n. 36/2023.</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15 – RIMANDI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Per quanto non espressamente riportato nel presente contratto d’appalto, si rimanda al CSA, al Disciplinare di gara e a progetto approvato che si dà per allegato e che l’appaltatore ha sottoscritto in sede di gara a valere come accettazione piena.</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16 – TRATTAMENTO DATI PERSONALI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Ai sensi del Regolamento UE 2016/679, noto come GDPR (General Data Protection Regulation) relativo alla protezione delle persone fisiche con riguardo al trattamento e alla libera circolazione dei dati personali, la Stazione Appaltante dichiara che i dati dell’Impresa saranno inseriti ed elaborati nelle proprie banche dati, al fine di gestire i reciproci rapporti contrattuali, comprese le istanze ai fini antimafia e la liquidazione effettuata da parte dell’Amministrazione delle eventuali fatture presso gli istituti bancari segnalati dall’Impresa stessa. L’Impresa ha il diritto di conservazione, cancellazione, rettifica, aggiornamento, integrazione ed opposizione al trattamento dei dati stessi, secondo quanto previsto dal GDPR 2016/679. Resta espressamente inteso che l’Impresa, con la sottoscrizione del presente atto, dichiara di aver preso visione di quanto sopra esposto. Titolare delle banche dati di rilievo, ai fini del presente atto, è il Comune di Giugliano in Campania (Na) così come costituita in testa del presente atto e Responsabile del Trattamento è il Segretario Generale.</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17 - SPESE IMPOSTE E TASSE</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Tutte le spese necessarie per la stipula e registrazione del presente accordo , ivi comprese le relative variazioni nel corso della sua esecuzione, sono a totale carico del concessionario, ivi inclusa la imposta di bollo se dovuta.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E’ stato accertato il pagamento delle spese contrattuali mediante Codice Riferimento </w:t>
      </w:r>
      <w:r>
        <w:rPr>
          <w:rFonts w:eastAsia="Times New Roman" w:cs="Calibri" w:ascii="Calibri" w:hAnsi="Calibri" w:asciiTheme="minorHAnsi" w:cstheme="minorHAnsi" w:hAnsiTheme="minorHAnsi"/>
          <w:highlight w:val="yellow"/>
          <w:lang w:eastAsia="it-IT"/>
        </w:rPr>
        <w:t>__________________________ per € _______________________ ( __________________/___________) acquisito a protocollo n° ___________ del ___________;</w:t>
      </w:r>
    </w:p>
    <w:p>
      <w:pPr>
        <w:pStyle w:val="Normal"/>
        <w:widowControl/>
        <w:jc w:val="both"/>
        <w:rPr>
          <w:rFonts w:ascii="Calibri" w:hAnsi="Calibri" w:eastAsia="Times New Roman" w:cs="Calibri" w:asciiTheme="minorHAnsi" w:cstheme="minorHAnsi" w:hAnsiTheme="minorHAnsi"/>
          <w:b/>
          <w:b/>
          <w:bCs/>
          <w:color w:val="FF0000"/>
          <w:lang w:eastAsia="it-IT"/>
        </w:rPr>
      </w:pPr>
      <w:r>
        <w:rPr>
          <w:rFonts w:eastAsia="Times New Roman" w:cs="Calibri" w:cstheme="minorHAnsi" w:ascii="Calibri" w:hAnsi="Calibri"/>
          <w:b/>
          <w:bCs/>
          <w:color w:val="FF0000"/>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18 - CONTROVERSIE E FORO COMPETENTE</w:t>
      </w:r>
      <w:r>
        <w:rPr>
          <w:rFonts w:eastAsia="Times New Roman" w:cs="Calibri" w:ascii="Calibri" w:hAnsi="Calibri" w:asciiTheme="minorHAnsi" w:cstheme="minorHAnsi" w:hAnsiTheme="minorHAnsi"/>
          <w:lang w:eastAsia="it-IT"/>
        </w:rPr>
        <w:t>.</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Tutte le controversie che dovessero sorgere tra le parti sull’interpretazione o l’esecuzione del contratto di affidamento del servizio di gestione sono rimesse alla competenza del Foro di Napoli Nord.</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19 – CLAUSOLA MANLEVA.</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Per tutte le controversie, l’ambito N14 – Comune di Giugliano in Campania Capofila viene espressamente esonerata in ambito al rapporto di debito o di responsabilità diretta nei confronti del soggetto affidatario dell'esecuzione dell'intervento finanziato.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L’operatore economico è responsabile di qualsiasi danno che i terzi subiscano in dipendenza dell'esecuzione dell'intervento e delle attività connesse e non potrà quindi pretendere di rivalersi nei confronti del Comune di Giugliano in Campania in qualità di ente capofila dell’Ambito N14.</w:t>
      </w:r>
    </w:p>
    <w:p>
      <w:pPr>
        <w:pStyle w:val="Normal"/>
        <w:widowControl/>
        <w:jc w:val="both"/>
        <w:rPr>
          <w:rFonts w:ascii="Calibri" w:hAnsi="Calibri" w:eastAsia="Times New Roman" w:cs="Calibri" w:asciiTheme="minorHAnsi" w:cstheme="minorHAnsi" w:hAnsiTheme="minorHAnsi"/>
          <w:b/>
          <w:b/>
          <w:bCs/>
          <w:lang w:eastAsia="it-IT"/>
        </w:rPr>
      </w:pPr>
      <w:r>
        <w:rPr>
          <w:rFonts w:eastAsia="Times New Roman" w:cs="Calibri" w:cstheme="minorHAnsi" w:ascii="Calibri" w:hAnsi="Calibri"/>
          <w:b/>
          <w:bCs/>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20 – CLAUSOLA INTEGRATIVA – OFFERTA TECNICA</w:t>
      </w:r>
      <w:r>
        <w:rPr>
          <w:rFonts w:eastAsia="Times New Roman" w:cs="Calibri" w:ascii="Calibri" w:hAnsi="Calibri" w:asciiTheme="minorHAnsi" w:cstheme="minorHAnsi" w:hAnsiTheme="minorHAnsi"/>
          <w:lang w:eastAsia="it-IT"/>
        </w:rPr>
        <w:t>.</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L’operatore economico, qui costituito, sulla base dell’offerta presentata in sede di gara, è tenuta nel pieno rispetto di quanto in essa dichiarato.</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b/>
          <w:bCs/>
          <w:lang w:eastAsia="it-IT"/>
        </w:rPr>
        <w:t>ART. 21 - CONCLUSIONI</w:t>
      </w:r>
    </w:p>
    <w:p>
      <w:pPr>
        <w:pStyle w:val="Normal"/>
        <w:widowControl/>
        <w:jc w:val="both"/>
        <w:rPr>
          <w:rFonts w:ascii="Calibri" w:hAnsi="Calibri" w:eastAsia="Times New Roman" w:cs="Calibri" w:asciiTheme="minorHAnsi" w:cstheme="minorHAnsi" w:hAnsiTheme="minorHAnsi"/>
          <w:b/>
          <w:b/>
          <w:lang w:eastAsia="it-IT"/>
        </w:rPr>
      </w:pPr>
      <w:r>
        <w:rPr>
          <w:rFonts w:eastAsia="Times New Roman" w:cs="Calibri" w:cstheme="minorHAnsi" w:ascii="Calibri" w:hAnsi="Calibri"/>
          <w:b/>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Le Parti convengono espressamente che, il presente Contratto viene stipulato sotto Condizione Risolutiva all’esito di Verifica (di cui all’art.15 della Legge n.183/2011) della veridicità delle condizioni, stati e qualità personali, Autocertificate dall’AGGIUDICATARIO - come costituito e rappresentato, ai fini della stipula del Contratto.</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Per tutto quanto non previsto in questo Contratto si rinvia a quanto disposto in materia dal Codice Civile, alle Norme vigenti in Materia di Appalti di Lavori Pubblici ed alle restanti Disposizioni di Legge in vigore aventi attinenza con il contenuto del presente Atto.</w:t>
      </w:r>
    </w:p>
    <w:p>
      <w:pPr>
        <w:pStyle w:val="Normal"/>
        <w:widowControl/>
        <w:jc w:val="both"/>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Come richiesto il Segretario Generale, ufficiale rogante, ho ricevuto il presente atto predisposto in modalità elettronica mediante personal computer e software di videoscrittura (art.32, comma14 del D. Lgs. 50/2016), del quale ho dato chiara lettura alle costituite parti che, da me interpellate, lo hanno dichiarato e riconosciuto conforme alle loro volontà per cui, a conferma, con firma digitale lo sottoscrivono con me ed alla mia presenza, ai sensi dell’art.1, comma 1, lett. s), del D. Lgs n.82/2005 ss.mm.ii..</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Consta il presente atto di pagine ________ fin qui.</w:t>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eastAsia="Times New Roman" w:cs="Calibri" w:asciiTheme="minorHAnsi" w:cstheme="minorHAnsi" w:hAnsiTheme="minorHAnsi"/>
          <w:lang w:eastAsia="it-IT"/>
        </w:rPr>
      </w:pPr>
      <w:r>
        <w:rPr>
          <w:rFonts w:eastAsia="Times New Roman" w:cs="Calibri" w:cstheme="minorHAnsi" w:ascii="Calibri" w:hAnsi="Calibri"/>
          <w:lang w:eastAsia="it-IT"/>
        </w:rPr>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Per il Comune – Dott. ___________________, e domiciliato per la carica presso il Comune di Giugliano in Campania, Dirigente del Comune di Giugliano in Campania capofila dell’Ambito N14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F.to in modalità elettronica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Per la Ditta </w:t>
      </w:r>
      <w:r>
        <w:rPr>
          <w:rFonts w:eastAsia="Times New Roman" w:cs="Calibri" w:ascii="Calibri" w:hAnsi="Calibri" w:asciiTheme="minorHAnsi" w:cstheme="minorHAnsi" w:hAnsiTheme="minorHAnsi"/>
          <w:bCs/>
          <w:lang w:eastAsia="it-IT"/>
        </w:rPr>
        <w:t>________________________________,</w:t>
      </w:r>
      <w:r>
        <w:rPr>
          <w:rFonts w:eastAsia="Times New Roman" w:cs="Calibri" w:ascii="Calibri" w:hAnsi="Calibri" w:asciiTheme="minorHAnsi" w:cstheme="minorHAnsi" w:hAnsiTheme="minorHAnsi"/>
          <w:lang w:eastAsia="it-IT"/>
        </w:rPr>
        <w:t xml:space="preserve"> legalmente rappresentata dal Sig. __________________ che si costituisce nel presente atto nella qualità di legale rappresentante ________________________–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F.to in modalità elettronica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 xml:space="preserve">Il Segretario Generale – ___________________ </w:t>
      </w:r>
    </w:p>
    <w:p>
      <w:pPr>
        <w:pStyle w:val="Normal"/>
        <w:widowControl/>
        <w:jc w:val="both"/>
        <w:rPr>
          <w:rFonts w:ascii="Calibri" w:hAnsi="Calibri"/>
        </w:rPr>
      </w:pPr>
      <w:r>
        <w:rPr>
          <w:rFonts w:eastAsia="Times New Roman" w:cs="Calibri" w:ascii="Calibri" w:hAnsi="Calibri" w:asciiTheme="minorHAnsi" w:cstheme="minorHAnsi" w:hAnsiTheme="minorHAnsi"/>
          <w:lang w:eastAsia="it-IT"/>
        </w:rPr>
        <w:t>F.to in modalità elettronica.</w:t>
      </w:r>
    </w:p>
    <w:p>
      <w:pPr>
        <w:pStyle w:val="Normal"/>
        <w:widowControl/>
        <w:rPr>
          <w:rFonts w:ascii="Calibri" w:hAnsi="Calibri" w:eastAsia="Times New Roman" w:cs="Calibri" w:asciiTheme="minorHAnsi" w:cstheme="minorHAnsi" w:hAnsiTheme="minorHAnsi"/>
          <w:color w:val="FF0000"/>
          <w:lang w:eastAsia="it-IT"/>
        </w:rPr>
      </w:pPr>
      <w:r>
        <w:rPr>
          <w:rFonts w:eastAsia="Times New Roman" w:cs="Calibri" w:cstheme="minorHAnsi" w:ascii="Calibri" w:hAnsi="Calibri"/>
          <w:color w:val="FF0000"/>
          <w:lang w:eastAsia="it-IT"/>
        </w:rPr>
      </w:r>
    </w:p>
    <w:p>
      <w:pPr>
        <w:pStyle w:val="Titolo1"/>
        <w:ind w:left="25" w:right="-236" w:hanging="0"/>
        <w:jc w:val="center"/>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spacing w:before="50" w:after="0"/>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bookmarkStart w:id="5" w:name="_GoBack"/>
      <w:bookmarkStart w:id="6" w:name="_GoBack"/>
      <w:bookmarkEnd w:id="6"/>
    </w:p>
    <w:p>
      <w:pPr>
        <w:pStyle w:val="Corpodeltesto"/>
        <w:ind w:left="0" w:right="-236" w:hanging="0"/>
        <w:jc w:val="left"/>
        <w:rPr>
          <w:rFonts w:ascii="Calibri" w:hAnsi="Calibri" w:cs="Calibri" w:asciiTheme="minorHAnsi" w:cstheme="minorHAnsi" w:hAnsiTheme="minorHAnsi"/>
          <w:color w:val="FF0000"/>
          <w:sz w:val="22"/>
          <w:szCs w:val="22"/>
        </w:rPr>
      </w:pPr>
      <w:r>
        <w:rPr>
          <w:rFonts w:cs="Calibri" w:cstheme="minorHAnsi" w:ascii="Calibri" w:hAnsi="Calibri"/>
          <w:color w:val="FF0000"/>
          <w:sz w:val="22"/>
          <w:szCs w:val="22"/>
        </w:rPr>
      </w:r>
    </w:p>
    <w:p>
      <w:pPr>
        <w:pStyle w:val="Corpodeltesto"/>
        <w:ind w:left="0" w:right="-236" w:hanging="0"/>
        <w:jc w:val="left"/>
        <w:rPr>
          <w:rFonts w:ascii="Calibri" w:hAnsi="Calibri"/>
        </w:rPr>
      </w:pPr>
      <w:r>
        <w:rPr/>
      </w:r>
    </w:p>
    <w:sectPr>
      <w:headerReference w:type="default" r:id="rId2"/>
      <w:footerReference w:type="default" r:id="rId3"/>
      <w:type w:val="nextPage"/>
      <w:pgSz w:w="11906" w:h="16838"/>
      <w:pgMar w:left="960" w:right="980" w:header="720" w:top="1780" w:footer="720" w:bottom="777"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Garamond">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Watermarks"/>
        <w:docPartUnique w:val="true"/>
      </w:docPartObj>
      <w:id w:val="296306801"/>
    </w:sdtPr>
    <w:sdtContent>
      <w:p>
        <w:pPr>
          <w:pStyle w:val="Intestazione"/>
          <w:rPr/>
        </w:pPr>
        <w:r>
          <w:rPr/>
          <w:pict>
            <v:shapetype id="shapetype_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id="PowerPlusWaterMarkObject357831064" o:spid="shape_0" fillcolor="silver" stroked="f" style="position:absolute;margin-left:43pt;margin-top:275.7pt;width:412.25pt;height:152.7pt;rotation:315;mso-position-horizontal:center;mso-position-vertical:center;mso-position-vertical-relative:margin" type="shapetype_136">
              <v:path textpathok="t"/>
              <v:textpath on="t" fitshape="t" string="BOZZA" trim="t" style="font-family:&quot;calibri&quot;;font-size:1pt"/>
              <w10:wrap type="none"/>
              <v:fill o:detectmouseclick="t" type="solid" color2="#3f3f3f" opacity="0.5"/>
              <v:stroke color="#3465a4" joinstyle="round" endcap="flat"/>
            </v:shape>
          </w:pict>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4"/>
    <w:compatSetting w:name="useWord2013TrackBottomHyphenation" w:uri="http://schemas.microsoft.com/office/word" w:val="1"/>
  </w:compat>
  <w:hyphenationZone w:val="283"/>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true"/>
      <w:bidi w:val="0"/>
      <w:spacing w:before="0" w:after="0"/>
      <w:jc w:val="left"/>
    </w:pPr>
    <w:rPr>
      <w:rFonts w:ascii="Arial" w:hAnsi="Arial" w:eastAsia="Arial" w:cs="Arial"/>
      <w:color w:val="auto"/>
      <w:kern w:val="0"/>
      <w:sz w:val="22"/>
      <w:szCs w:val="22"/>
      <w:lang w:val="it-IT" w:eastAsia="en-US" w:bidi="ar-SA"/>
    </w:rPr>
  </w:style>
  <w:style w:type="paragraph" w:styleId="Titolo1">
    <w:name w:val="Heading 1"/>
    <w:basedOn w:val="Normal"/>
    <w:uiPriority w:val="9"/>
    <w:qFormat/>
    <w:pPr>
      <w:ind w:left="175" w:hanging="0"/>
      <w:outlineLvl w:val="0"/>
    </w:pPr>
    <w:rPr>
      <w:b/>
      <w:bCs/>
      <w:sz w:val="20"/>
      <w:szCs w:val="20"/>
    </w:rPr>
  </w:style>
  <w:style w:type="paragraph" w:styleId="Titolo2">
    <w:name w:val="Heading 2"/>
    <w:basedOn w:val="Normal"/>
    <w:next w:val="Normal"/>
    <w:link w:val="Titolo2Carattere"/>
    <w:uiPriority w:val="9"/>
    <w:semiHidden/>
    <w:unhideWhenUsed/>
    <w:qFormat/>
    <w:rsid w:val="00900b43"/>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character" w:styleId="DefaultParagraphFont" w:default="1">
    <w:name w:val="Default Paragraph Font"/>
    <w:uiPriority w:val="1"/>
    <w:unhideWhenUsed/>
    <w:qFormat/>
    <w:rPr/>
  </w:style>
  <w:style w:type="character" w:styleId="Titolo2Carattere" w:customStyle="1">
    <w:name w:val="Titolo 2 Carattere"/>
    <w:basedOn w:val="DefaultParagraphFont"/>
    <w:link w:val="Titolo2"/>
    <w:uiPriority w:val="9"/>
    <w:semiHidden/>
    <w:qFormat/>
    <w:rsid w:val="00900b43"/>
    <w:rPr>
      <w:rFonts w:ascii="Cambria" w:hAnsi="Cambria" w:eastAsia="" w:cs="" w:asciiTheme="majorHAnsi" w:cstheme="majorBidi" w:eastAsiaTheme="majorEastAsia" w:hAnsiTheme="majorHAnsi"/>
      <w:color w:val="365F91" w:themeColor="accent1" w:themeShade="bf"/>
      <w:sz w:val="26"/>
      <w:szCs w:val="26"/>
      <w:lang w:val="it-IT"/>
    </w:rPr>
  </w:style>
  <w:style w:type="character" w:styleId="CollegamentoInternet">
    <w:name w:val="Collegamento Internet"/>
    <w:basedOn w:val="DefaultParagraphFont"/>
    <w:uiPriority w:val="99"/>
    <w:unhideWhenUsed/>
    <w:rsid w:val="00900b43"/>
    <w:rPr>
      <w:color w:val="0000FF" w:themeColor="hyperlink"/>
      <w:u w:val="single"/>
    </w:rPr>
  </w:style>
  <w:style w:type="character" w:styleId="UnresolvedMention">
    <w:name w:val="Unresolved Mention"/>
    <w:basedOn w:val="DefaultParagraphFont"/>
    <w:uiPriority w:val="99"/>
    <w:semiHidden/>
    <w:unhideWhenUsed/>
    <w:qFormat/>
    <w:rsid w:val="00900b43"/>
    <w:rPr>
      <w:color w:val="605E5C"/>
      <w:shd w:fill="E1DFDD" w:val="clear"/>
    </w:rPr>
  </w:style>
  <w:style w:type="character" w:styleId="IntestazioneCarattere" w:customStyle="1">
    <w:name w:val="Intestazione Carattere"/>
    <w:basedOn w:val="DefaultParagraphFont"/>
    <w:link w:val="Intestazione"/>
    <w:uiPriority w:val="99"/>
    <w:qFormat/>
    <w:rsid w:val="006261a5"/>
    <w:rPr>
      <w:rFonts w:ascii="Arial" w:hAnsi="Arial" w:eastAsia="Arial" w:cs="Arial"/>
      <w:lang w:val="it-IT"/>
    </w:rPr>
  </w:style>
  <w:style w:type="character" w:styleId="PidipaginaCarattere" w:customStyle="1">
    <w:name w:val="Piè di pagina Carattere"/>
    <w:basedOn w:val="DefaultParagraphFont"/>
    <w:link w:val="Pidipagina"/>
    <w:uiPriority w:val="99"/>
    <w:qFormat/>
    <w:rsid w:val="006261a5"/>
    <w:rPr>
      <w:rFonts w:ascii="Arial" w:hAnsi="Arial" w:eastAsia="Arial" w:cs="Arial"/>
      <w:lang w:val="it-IT"/>
    </w:rPr>
  </w:style>
  <w:style w:type="character" w:styleId="Carpredefinitoparagrafo">
    <w:name w:val="Car. predefinito paragrafo"/>
    <w:qFormat/>
    <w:rPr/>
  </w:style>
  <w:style w:type="character" w:styleId="Punti">
    <w:name w:val="Punti"/>
    <w:qFormat/>
    <w:rPr>
      <w:rFonts w:ascii="OpenSymbol" w:hAnsi="OpenSymbol" w:eastAsia="OpenSymbol" w:cs="OpenSymbol"/>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pPr>
      <w:ind w:left="175" w:hanging="0"/>
      <w:jc w:val="both"/>
    </w:pPr>
    <w:rPr>
      <w:sz w:val="20"/>
      <w:szCs w:val="20"/>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ListParagraph">
    <w:name w:val="List Paragraph"/>
    <w:basedOn w:val="Normal"/>
    <w:uiPriority w:val="1"/>
    <w:qFormat/>
    <w:pPr>
      <w:ind w:left="175" w:hanging="0"/>
      <w:jc w:val="both"/>
    </w:pPr>
    <w:rPr/>
  </w:style>
  <w:style w:type="paragraph" w:styleId="TableParagraph" w:customStyle="1">
    <w:name w:val="Table Paragraph"/>
    <w:basedOn w:val="Normal"/>
    <w:uiPriority w:val="1"/>
    <w:qFormat/>
    <w:pPr/>
    <w:rPr/>
  </w:style>
  <w:style w:type="paragraph" w:styleId="Intestazioneepidipagina">
    <w:name w:val="Intestazione e piè di pagina"/>
    <w:basedOn w:val="Normal"/>
    <w:qFormat/>
    <w:pPr/>
    <w:rPr/>
  </w:style>
  <w:style w:type="paragraph" w:styleId="Intestazione">
    <w:name w:val="Header"/>
    <w:basedOn w:val="Normal"/>
    <w:link w:val="IntestazioneCarattere"/>
    <w:uiPriority w:val="99"/>
    <w:unhideWhenUsed/>
    <w:rsid w:val="006261a5"/>
    <w:pPr>
      <w:tabs>
        <w:tab w:val="clear" w:pos="720"/>
        <w:tab w:val="center" w:pos="4819" w:leader="none"/>
        <w:tab w:val="right" w:pos="9638" w:leader="none"/>
      </w:tabs>
    </w:pPr>
    <w:rPr/>
  </w:style>
  <w:style w:type="paragraph" w:styleId="Pidipagina">
    <w:name w:val="Footer"/>
    <w:basedOn w:val="Normal"/>
    <w:link w:val="PidipaginaCarattere"/>
    <w:uiPriority w:val="99"/>
    <w:unhideWhenUsed/>
    <w:rsid w:val="006261a5"/>
    <w:pPr>
      <w:tabs>
        <w:tab w:val="clear" w:pos="720"/>
        <w:tab w:val="center" w:pos="4819" w:leader="none"/>
        <w:tab w:val="right" w:pos="9638" w:leader="none"/>
      </w:tabs>
    </w:pPr>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Application>LibreOffice/6.4.7.2$Windows_X86_64 LibreOffice_project/639b8ac485750d5696d7590a72ef1b496725cfb5</Application>
  <Pages>7</Pages>
  <Words>3570</Words>
  <Characters>21899</Characters>
  <CharactersWithSpaces>25558</CharactersWithSpaces>
  <Paragraphs>115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2025-11-08T17:52:00Z</dcterms:created>
  <dc:creator>Viola Flora</dc:creator>
  <dc:description/>
  <dc:language>it-IT</dc:language>
  <cp:lastModifiedBy/>
  <cp:lastPrinted>2025-11-10T08:57:00Z</cp:lastPrinted>
  <dcterms:modified xsi:type="dcterms:W3CDTF">2026-06-05T13:27:09Z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2025-06-03T00:00:00Z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2025-06-03T00:00:00Z</vt:filetime>
  </property>
  <property fmtid="{D5CDD505-2E9C-101B-9397-08002B2CF9AE}" pid="8" name="LinksUpToDate">
    <vt:bool>0</vt:bool>
  </property>
  <property fmtid="{D5CDD505-2E9C-101B-9397-08002B2CF9AE}" pid="9" name="Producer">
    <vt:lpwstr>LibreOffice 24.8.6.2 (X86_64) / LibreOffice Community</vt:lpwstr>
  </property>
  <property fmtid="{D5CDD505-2E9C-101B-9397-08002B2CF9AE}" pid="10" name="ScaleCrop">
    <vt:bool>0</vt:bool>
  </property>
  <property fmtid="{D5CDD505-2E9C-101B-9397-08002B2CF9AE}" pid="11" name="ShareDoc">
    <vt:bool>0</vt:bool>
  </property>
</Properties>
</file>